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24"/>
          <w:szCs w:val="24"/>
        </w:rPr>
        <w:t xml:space="preserve"/>
      </w:r>
    </w:p>
    <w:p>
      <w:pPr>
        <w:spacing w:after="40" w:before="0"/>
      </w:pPr>
      <w:r>
        <w:rPr>
          <w:rFonts w:ascii="Arial" w:cs="Arial" w:eastAsia="Arial" w:hAnsi="Arial"/>
          <w:b/>
          <w:bCs/>
          <w:color w:val="1F4E79"/>
          <w:sz w:val="52"/>
          <w:szCs w:val="52"/>
        </w:rPr>
        <w:t xml:space="preserve">USABILITY TEST REPORT</w:t>
      </w:r>
    </w:p>
    <w:p>
      <w:pPr>
        <w:spacing w:after="200" w:before="0"/>
      </w:pPr>
      <w:r>
        <w:rPr>
          <w:rFonts w:ascii="Arial" w:cs="Arial" w:eastAsia="Arial" w:hAnsi="Arial"/>
          <w:color w:val="C55A11"/>
          <w:sz w:val="36"/>
          <w:szCs w:val="36"/>
        </w:rPr>
        <w:t xml:space="preserve">Mobile Banking Application</w:t>
      </w:r>
    </w:p>
    <w:p>
      <w:pPr>
        <w:pBdr>
          <w:bottom w:val="single" w:color="1F4E79" w:sz="2" w:space="1"/>
        </w:pBdr>
        <w:spacing w:after="200" w:before="0"/>
      </w:pPr>
      <w:r>
        <w:t xml:space="preserve"/>
      </w:r>
    </w:p>
    <w:p>
      <w:pPr>
        <w:spacing w:after="0" w:before="160"/>
      </w:pPr>
      <w:r>
        <w:rPr>
          <w:rFonts w:ascii="Arial" w:cs="Arial" w:eastAsia="Arial" w:hAnsi="Arial"/>
          <w:color w:val="595959"/>
          <w:sz w:val="22"/>
          <w:szCs w:val="22"/>
        </w:rPr>
        <w:t xml:space="preserve">Prepared for Stakeholder Review</w:t>
      </w:r>
    </w:p>
    <w:p>
      <w:pPr>
        <w:spacing w:after="600" w:before="60"/>
      </w:pPr>
      <w:r>
        <w:rPr>
          <w:rFonts w:ascii="Arial" w:cs="Arial" w:eastAsia="Arial" w:hAnsi="Arial"/>
          <w:color w:val="595959"/>
          <w:sz w:val="20"/>
          <w:szCs w:val="20"/>
        </w:rPr>
        <w:t xml:space="preserve">UX Research Team  ·  June 2026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Product</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Mobile Banking App (iOS &amp; Android)</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Study type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Moderated remote usability testing</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Participants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8 participants across 3 user segments</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Testing period</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3–7 June 2026</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Prepared by</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UX Research Team</w:t>
            </w:r>
          </w:p>
        </w:tc>
      </w:tr>
      <w:tr>
        <w:tc>
          <w:tcPr>
            <w:tcW w:type="dxa" w:w="3000"/>
            <w:tcBorders>
              <w:top w:val="none" w:color="FFFFFF" w:sz="0"/>
              <w:left w:val="none" w:color="FFFFFF" w:sz="0"/>
              <w:bottom w:val="none" w:color="FFFFFF" w:sz="0"/>
              <w:right w:val="none" w:color="FFFFFF" w:sz="0"/>
            </w:tcBorders>
            <w:shd w:fill="F2F2F2" w:val="clear"/>
            <w:tcMar>
              <w:top w:type="dxa" w:w="80"/>
              <w:left w:type="dxa" w:w="120"/>
              <w:bottom w:type="dxa" w:w="80"/>
              <w:right w:type="dxa" w:w="80"/>
            </w:tcMar>
          </w:tcPr>
          <w:p>
            <w:r>
              <w:rPr>
                <w:rFonts w:ascii="Arial" w:cs="Arial" w:eastAsia="Arial" w:hAnsi="Arial"/>
                <w:b/>
                <w:bCs/>
                <w:color w:val="595959"/>
                <w:sz w:val="20"/>
                <w:szCs w:val="20"/>
              </w:rPr>
              <w:t xml:space="preserve">Classification</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2F2F2F"/>
                <w:sz w:val="20"/>
                <w:szCs w:val="20"/>
              </w:rPr>
              <w:t xml:space="preserve">Confidential — Internal Use Only</w:t>
            </w:r>
          </w:p>
        </w:tc>
      </w:tr>
    </w:tbl>
    <w:p>
      <w:pPr>
        <w:spacing w:after="0" w:before="0"/>
      </w:pPr>
      <w:r>
        <w:rPr>
          <w:sz w:val="24"/>
          <w:szCs w:val="24"/>
        </w:rP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Executive Summary</w:t>
      </w:r>
    </w:p>
    <w:p>
      <w:pPr>
        <w:spacing w:after="80" w:before="60"/>
      </w:pPr>
      <w:r>
        <w:rPr>
          <w:rFonts w:ascii="Arial" w:cs="Arial" w:eastAsia="Arial" w:hAnsi="Arial"/>
          <w:color w:val="2F2F2F"/>
          <w:sz w:val="22"/>
          <w:szCs w:val="22"/>
        </w:rPr>
        <w:t xml:space="preserve">This report presents findings from a moderated remote usability study conducted on the Mobile Banking App across 8 participants representing three key user segments: current customers, competitor-app users, and first-time digital banking users.</w:t>
      </w:r>
    </w:p>
    <w:p>
      <w:pPr>
        <w:spacing w:after="0" w:before="0"/>
      </w:pPr>
      <w:r>
        <w:rPr>
          <w:sz w:val="12"/>
          <w:szCs w:val="12"/>
        </w:rPr>
        <w:t xml:space="preserve"/>
      </w:r>
    </w:p>
    <w:p>
      <w:pPr>
        <w:spacing w:after="80" w:before="60"/>
      </w:pPr>
      <w:r>
        <w:rPr>
          <w:rFonts w:ascii="Arial" w:cs="Arial" w:eastAsia="Arial" w:hAnsi="Arial"/>
          <w:color w:val="2F2F2F"/>
          <w:sz w:val="22"/>
          <w:szCs w:val="22"/>
        </w:rPr>
        <w:t xml:space="preserve">The study evaluated the product against four core task scenarios — fund transfers, transaction disputes, feature discovery, and bill payments — and collected quantitative metrics including task completion rates, time-on-task, error rates, SUS (System Usability Scale) scores, and NPS.</w:t>
      </w:r>
    </w:p>
    <w:p>
      <w:pPr>
        <w:spacing w:after="0" w:before="0"/>
      </w:pPr>
      <w:r>
        <w:rPr>
          <w:sz w:val="12"/>
          <w:szCs w:val="12"/>
        </w:rPr>
        <w:t xml:space="preserve"/>
      </w:r>
    </w:p>
    <w:p>
      <w:pPr>
        <w:spacing w:after="60" w:before="200"/>
      </w:pPr>
      <w:r>
        <w:rPr>
          <w:rFonts w:ascii="Arial" w:cs="Arial" w:eastAsia="Arial" w:hAnsi="Arial"/>
          <w:b/>
          <w:bCs/>
          <w:color w:val="595959"/>
          <w:sz w:val="22"/>
          <w:szCs w:val="22"/>
        </w:rPr>
        <w:t xml:space="preserve">Overall assessment</w:t>
      </w:r>
    </w:p>
    <w:p>
      <w:pPr>
        <w:spacing w:after="80" w:before="60"/>
      </w:pPr>
      <w:r>
        <w:rPr>
          <w:rFonts w:ascii="Arial" w:cs="Arial" w:eastAsia="Arial" w:hAnsi="Arial"/>
          <w:color w:val="2F2F2F"/>
          <w:sz w:val="22"/>
          <w:szCs w:val="22"/>
        </w:rPr>
        <w:t xml:space="preserve">The app demonstrates strong performance on bill payments and basic feature discovery, but faces critical usability barriers in the primary use case of fund transfers, where navigation architecture and error messaging create significant friction. The SUS score of 58 places the product below industry average, indicating meaningful improvements are needed before the product can deliver a competitive user experience.</w:t>
      </w:r>
    </w:p>
    <w:p>
      <w:pPr>
        <w:spacing w:after="0" w:before="0"/>
      </w:pPr>
      <w:r>
        <w:rPr>
          <w:sz w:val="12"/>
          <w:szCs w:val="12"/>
        </w:rPr>
        <w:t xml:space="preserve"/>
      </w:r>
    </w:p>
    <w:p>
      <w:pPr>
        <w:spacing w:after="60" w:before="200"/>
      </w:pPr>
      <w:r>
        <w:rPr>
          <w:rFonts w:ascii="Arial" w:cs="Arial" w:eastAsia="Arial" w:hAnsi="Arial"/>
          <w:b/>
          <w:bCs/>
          <w:color w:val="595959"/>
          <w:sz w:val="22"/>
          <w:szCs w:val="22"/>
        </w:rPr>
        <w:t xml:space="preserve">Key metrics at a glance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FFEB9C" w:val="clear"/>
            <w:tcMar>
              <w:top w:type="dxa" w:w="120"/>
              <w:left w:type="dxa" w:w="160"/>
              <w:bottom w:type="dxa" w:w="120"/>
              <w:right w:type="dxa" w:w="160"/>
            </w:tcMar>
            <w:vAlign w:val="center"/>
          </w:tcPr>
          <w:p>
            <w:pPr>
              <w:jc w:val="center"/>
            </w:pPr>
            <w:r>
              <w:rPr>
                <w:rFonts w:ascii="Arial" w:cs="Arial" w:eastAsia="Arial" w:hAnsi="Arial"/>
                <w:b/>
                <w:bCs/>
                <w:color w:val="7F6000"/>
                <w:sz w:val="44"/>
                <w:szCs w:val="44"/>
              </w:rPr>
              <w:t xml:space="preserve">58 / 100</w:t>
            </w:r>
          </w:p>
          <w:p>
            <w:pPr>
              <w:spacing w:before="40"/>
              <w:jc w:val="center"/>
            </w:pPr>
            <w:r>
              <w:rPr>
                <w:rFonts w:ascii="Arial" w:cs="Arial" w:eastAsia="Arial" w:hAnsi="Arial"/>
                <w:color w:val="7F6000"/>
                <w:sz w:val="18"/>
                <w:szCs w:val="18"/>
              </w:rPr>
              <w:t xml:space="preserve">SUS Score</w:t>
            </w:r>
          </w:p>
        </w:tc>
        <w:tc>
          <w:tcPr>
            <w:tcW w:type="dxa" w:w="2340"/>
            <w:tcBorders>
              <w:top w:val="single" w:color="BFBFBF" w:sz="1"/>
              <w:left w:val="single" w:color="BFBFBF" w:sz="1"/>
              <w:bottom w:val="single" w:color="BFBFBF" w:sz="1"/>
              <w:right w:val="single" w:color="BFBFBF" w:sz="1"/>
            </w:tcBorders>
            <w:shd w:fill="E2EFDA" w:val="clear"/>
            <w:tcMar>
              <w:top w:type="dxa" w:w="120"/>
              <w:left w:type="dxa" w:w="160"/>
              <w:bottom w:type="dxa" w:w="120"/>
              <w:right w:type="dxa" w:w="160"/>
            </w:tcMar>
            <w:vAlign w:val="center"/>
          </w:tcPr>
          <w:p>
            <w:pPr>
              <w:jc w:val="center"/>
            </w:pPr>
            <w:r>
              <w:rPr>
                <w:rFonts w:ascii="Arial" w:cs="Arial" w:eastAsia="Arial" w:hAnsi="Arial"/>
                <w:b/>
                <w:bCs/>
                <w:color w:val="375623"/>
                <w:sz w:val="44"/>
                <w:szCs w:val="44"/>
              </w:rPr>
              <w:t xml:space="preserve">68%</w:t>
            </w:r>
          </w:p>
          <w:p>
            <w:pPr>
              <w:spacing w:before="40"/>
              <w:jc w:val="center"/>
            </w:pPr>
            <w:r>
              <w:rPr>
                <w:rFonts w:ascii="Arial" w:cs="Arial" w:eastAsia="Arial" w:hAnsi="Arial"/>
                <w:color w:val="375623"/>
                <w:sz w:val="18"/>
                <w:szCs w:val="18"/>
              </w:rPr>
              <w:t xml:space="preserve">Task Completion</w:t>
            </w:r>
          </w:p>
        </w:tc>
        <w:tc>
          <w:tcPr>
            <w:tcW w:type="dxa" w:w="234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vAlign w:val="center"/>
          </w:tcPr>
          <w:p>
            <w:pPr>
              <w:jc w:val="center"/>
            </w:pPr>
            <w:r>
              <w:rPr>
                <w:rFonts w:ascii="Arial" w:cs="Arial" w:eastAsia="Arial" w:hAnsi="Arial"/>
                <w:b/>
                <w:bCs/>
                <w:color w:val="1F4E79"/>
                <w:sz w:val="44"/>
                <w:szCs w:val="44"/>
              </w:rPr>
              <w:t xml:space="preserve">+15</w:t>
            </w:r>
          </w:p>
          <w:p>
            <w:pPr>
              <w:spacing w:before="40"/>
              <w:jc w:val="center"/>
            </w:pPr>
            <w:r>
              <w:rPr>
                <w:rFonts w:ascii="Arial" w:cs="Arial" w:eastAsia="Arial" w:hAnsi="Arial"/>
                <w:color w:val="595959"/>
                <w:sz w:val="18"/>
                <w:szCs w:val="18"/>
              </w:rPr>
              <w:t xml:space="preserve">Net Promoter Score</w:t>
            </w:r>
          </w:p>
        </w:tc>
        <w:tc>
          <w:tcPr>
            <w:tcW w:type="dxa" w:w="234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vAlign w:val="center"/>
          </w:tcPr>
          <w:p>
            <w:pPr>
              <w:jc w:val="center"/>
            </w:pPr>
            <w:r>
              <w:rPr>
                <w:rFonts w:ascii="Arial" w:cs="Arial" w:eastAsia="Arial" w:hAnsi="Arial"/>
                <w:b/>
                <w:bCs/>
                <w:color w:val="1F3864"/>
                <w:sz w:val="44"/>
                <w:szCs w:val="44"/>
              </w:rPr>
              <w:t xml:space="preserve">3:42</w:t>
            </w:r>
          </w:p>
          <w:p>
            <w:pPr>
              <w:spacing w:before="40"/>
              <w:jc w:val="center"/>
            </w:pPr>
            <w:r>
              <w:rPr>
                <w:rFonts w:ascii="Arial" w:cs="Arial" w:eastAsia="Arial" w:hAnsi="Arial"/>
                <w:color w:val="595959"/>
                <w:sz w:val="18"/>
                <w:szCs w:val="18"/>
              </w:rPr>
              <w:t xml:space="preserve">Avg. Time on Task</w:t>
            </w:r>
          </w:p>
        </w:tc>
      </w:tr>
    </w:tbl>
    <w:p>
      <w:pPr>
        <w:spacing w:after="0" w:before="0"/>
      </w:pPr>
      <w:r>
        <w:rPr>
          <w:sz w:val="12"/>
          <w:szCs w:val="12"/>
        </w:rPr>
        <w:t xml:space="preserve"/>
      </w:r>
    </w:p>
    <w:p>
      <w:pPr>
        <w:spacing w:after="0" w:before="0"/>
      </w:pPr>
      <w:r>
        <w:rPr>
          <w:sz w:val="12"/>
          <w:szCs w:val="12"/>
        </w:rPr>
        <w:t xml:space="preserve"/>
      </w:r>
    </w:p>
    <w:p>
      <w:pPr>
        <w:spacing w:after="80" w:before="60"/>
      </w:pPr>
      <w:r>
        <w:rPr>
          <w:rFonts w:ascii="Arial" w:cs="Arial" w:eastAsia="Arial" w:hAnsi="Arial"/>
          <w:color w:val="2F2F2F"/>
          <w:sz w:val="22"/>
          <w:szCs w:val="22"/>
        </w:rPr>
        <w:t xml:space="preserve">The most urgent finding is that 75% of participants could not independently locate the fund transfer function, the app's most-used feature. Combined with uninformative error messages and slow transaction history load times, these issues compound to produce a below-average usability score. However, participants consistently praised the OTP flow, confirmation screen, and the bill payment journey — demonstrating that the team can deliver polished experiences when UX is prioritised.</w:t>
      </w:r>
    </w:p>
    <w:p>
      <w:pPr>
        <w:spacing w:after="0" w:before="0"/>
      </w:pPr>
      <w:r>
        <w:rPr>
          <w:sz w:val="12"/>
          <w:szCs w:val="12"/>
        </w:rPr>
        <w:t xml:space="preserve"/>
      </w:r>
    </w:p>
    <w:p>
      <w:pPr>
        <w:spacing w:after="60" w:before="200"/>
      </w:pPr>
      <w:r>
        <w:rPr>
          <w:rFonts w:ascii="Arial" w:cs="Arial" w:eastAsia="Arial" w:hAnsi="Arial"/>
          <w:b/>
          <w:bCs/>
          <w:color w:val="595959"/>
          <w:sz w:val="22"/>
          <w:szCs w:val="22"/>
        </w:rPr>
        <w:t xml:space="preserve">Top priorities</w:t>
      </w:r>
    </w:p>
    <w:p>
      <w:pPr>
        <w:pStyle w:val="ListParagraph"/>
        <w:numPr>
          <w:ilvl w:val="0"/>
          <w:numId w:val="2"/>
        </w:numPr>
        <w:spacing w:after="40" w:before="40"/>
      </w:pPr>
      <w:r>
        <w:rPr>
          <w:rFonts w:ascii="Arial" w:cs="Arial" w:eastAsia="Arial" w:hAnsi="Arial"/>
          <w:b/>
          <w:bCs/>
          <w:color w:val="2F2F2F"/>
          <w:sz w:val="22"/>
          <w:szCs w:val="22"/>
        </w:rPr>
        <w:t xml:space="preserve">Critical: </w:t>
      </w:r>
      <w:r>
        <w:rPr>
          <w:rFonts w:ascii="Arial" w:cs="Arial" w:eastAsia="Arial" w:hAnsi="Arial"/>
          <w:color w:val="2F2F2F"/>
          <w:sz w:val="22"/>
          <w:szCs w:val="22"/>
        </w:rPr>
        <w:t xml:space="preserve">Redesign primary navigation to surface the Transfer function prominently</w:t>
      </w:r>
    </w:p>
    <w:p>
      <w:pPr>
        <w:pStyle w:val="ListParagraph"/>
        <w:numPr>
          <w:ilvl w:val="0"/>
          <w:numId w:val="2"/>
        </w:numPr>
        <w:spacing w:after="40" w:before="40"/>
      </w:pPr>
      <w:r>
        <w:rPr>
          <w:rFonts w:ascii="Arial" w:cs="Arial" w:eastAsia="Arial" w:hAnsi="Arial"/>
          <w:b/>
          <w:bCs/>
          <w:color w:val="2F2F2F"/>
          <w:sz w:val="22"/>
          <w:szCs w:val="22"/>
        </w:rPr>
        <w:t xml:space="preserve">Critical: </w:t>
      </w:r>
      <w:r>
        <w:rPr>
          <w:rFonts w:ascii="Arial" w:cs="Arial" w:eastAsia="Arial" w:hAnsi="Arial"/>
          <w:color w:val="2F2F2F"/>
          <w:sz w:val="22"/>
          <w:szCs w:val="22"/>
        </w:rPr>
        <w:t xml:space="preserve">Rewrite all error messages to include cause and corrective action</w:t>
      </w:r>
    </w:p>
    <w:p>
      <w:pPr>
        <w:pStyle w:val="ListParagraph"/>
        <w:numPr>
          <w:ilvl w:val="0"/>
          <w:numId w:val="2"/>
        </w:numPr>
        <w:spacing w:after="40" w:before="40"/>
      </w:pPr>
      <w:r>
        <w:rPr>
          <w:rFonts w:ascii="Arial" w:cs="Arial" w:eastAsia="Arial" w:hAnsi="Arial"/>
          <w:b/>
          <w:bCs/>
          <w:color w:val="2F2F2F"/>
          <w:sz w:val="22"/>
          <w:szCs w:val="22"/>
        </w:rPr>
        <w:t xml:space="preserve">Major: </w:t>
      </w:r>
      <w:r>
        <w:rPr>
          <w:rFonts w:ascii="Arial" w:cs="Arial" w:eastAsia="Arial" w:hAnsi="Arial"/>
          <w:color w:val="2F2F2F"/>
          <w:sz w:val="22"/>
          <w:szCs w:val="22"/>
        </w:rPr>
        <w:t xml:space="preserve">Implement skeleton loading and pagination for transaction history</w:t>
      </w:r>
    </w:p>
    <w:p>
      <w:pPr>
        <w:pStyle w:val="ListParagraph"/>
        <w:numPr>
          <w:ilvl w:val="0"/>
          <w:numId w:val="2"/>
        </w:numPr>
        <w:spacing w:after="40" w:before="40"/>
      </w:pPr>
      <w:r>
        <w:rPr>
          <w:rFonts w:ascii="Arial" w:cs="Arial" w:eastAsia="Arial" w:hAnsi="Arial"/>
          <w:b/>
          <w:bCs/>
          <w:color w:val="2F2F2F"/>
          <w:sz w:val="22"/>
          <w:szCs w:val="22"/>
        </w:rPr>
        <w:t xml:space="preserve">Minor: </w:t>
      </w:r>
      <w:r>
        <w:rPr>
          <w:rFonts w:ascii="Arial" w:cs="Arial" w:eastAsia="Arial" w:hAnsi="Arial"/>
          <w:color w:val="2F2F2F"/>
          <w:sz w:val="22"/>
          <w:szCs w:val="22"/>
        </w:rPr>
        <w:t xml:space="preserve">Audit and correct all tap targets to meet WCAG 2.5.5 (44×44 px minimum)</w:t>
      </w:r>
    </w:p>
    <w:p>
      <w:pPr>
        <w:spacing w:after="0" w:before="0"/>
      </w:pPr>
      <w:r>
        <w:rPr>
          <w:sz w:val="12"/>
          <w:szCs w:val="12"/>
        </w:rP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Methodology</w:t>
      </w:r>
    </w:p>
    <w:p>
      <w:pPr>
        <w:pStyle w:val="Heading2"/>
        <w:spacing w:after="80" w:before="280"/>
      </w:pPr>
      <w:r>
        <w:rPr>
          <w:rFonts w:ascii="Arial" w:cs="Arial" w:eastAsia="Arial" w:hAnsi="Arial"/>
          <w:b/>
          <w:bCs/>
          <w:color w:val="1F3864"/>
          <w:sz w:val="26"/>
          <w:szCs w:val="26"/>
        </w:rPr>
        <w:t xml:space="preserve">Study design</w:t>
      </w:r>
    </w:p>
    <w:p>
      <w:pPr>
        <w:spacing w:after="80" w:before="60"/>
      </w:pPr>
      <w:r>
        <w:rPr>
          <w:rFonts w:ascii="Arial" w:cs="Arial" w:eastAsia="Arial" w:hAnsi="Arial"/>
          <w:color w:val="2F2F2F"/>
          <w:sz w:val="22"/>
          <w:szCs w:val="22"/>
        </w:rPr>
        <w:t xml:space="preserve">We conducted moderated remote usability testing sessions via video call with screen sharing. Each session lasted approximately 45 minutes and followed a structured moderator guide, with a 5-minute warm-up, four task scenarios, and a 10-minute debrief. Sessions were recorded with participant consent.</w:t>
      </w:r>
    </w:p>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Participant profile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600"/>
        <w:gridCol w:w="260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Segment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Count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Age range</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Tech level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Current users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28–42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Intermediate – Advanced</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Competitor users</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3</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22–41</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Intermediate – Advanced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Non-users (new to digital banking)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22 &amp; 55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Beginner</w:t>
            </w:r>
          </w:p>
        </w:tc>
      </w:tr>
    </w:tbl>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Test scenarios</w:t>
      </w:r>
    </w:p>
    <w:p>
      <w:pPr>
        <w:spacing w:after="80" w:before="60"/>
      </w:pPr>
      <w:r>
        <w:rPr>
          <w:rFonts w:ascii="Arial" w:cs="Arial" w:eastAsia="Arial" w:hAnsi="Arial"/>
          <w:color w:val="2F2F2F"/>
          <w:sz w:val="22"/>
          <w:szCs w:val="22"/>
        </w:rPr>
        <w:t xml:space="preserve">Participants completed four task scenarios designed to reflect real-world banking journeys. Scenarios were written in realistic language to avoid leading the user:</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980"/>
      </w:tblGrid>
      <w:tr>
        <w:tc>
          <w:tcPr>
            <w:tcW w:type="dxa" w:w="1200"/>
            <w:tcBorders>
              <w:top w:val="single" w:color="BFBFBF" w:sz="1"/>
              <w:left w:val="single" w:color="BFBFBF" w:sz="1"/>
              <w:bottom w:val="single" w:color="BFBFBF" w:sz="1"/>
              <w:right w:val="single" w:color="BFBFBF" w:sz="1"/>
            </w:tcBorders>
            <w:shd w:fill="D5E3EF" w:val="clear"/>
            <w:tcMar>
              <w:top w:type="dxa" w:w="80"/>
              <w:left w:type="dxa" w:w="120"/>
              <w:bottom w:type="dxa" w:w="80"/>
              <w:right w:type="dxa" w:w="80"/>
            </w:tcMar>
          </w:tcPr>
          <w:p>
            <w:r>
              <w:rPr>
                <w:rFonts w:ascii="Arial" w:cs="Arial" w:eastAsia="Arial" w:hAnsi="Arial"/>
                <w:b/>
                <w:bCs/>
                <w:color w:val="1F4E79"/>
                <w:sz w:val="20"/>
                <w:szCs w:val="20"/>
              </w:rPr>
              <w:t xml:space="preserve">Scenario 1</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b/>
                <w:bCs/>
                <w:color w:val="2F2F2F"/>
                <w:sz w:val="20"/>
                <w:szCs w:val="20"/>
              </w:rPr>
              <w:t xml:space="preserve">Fund transfer</w:t>
            </w:r>
          </w:p>
        </w:tc>
        <w:tc>
          <w:tcPr>
            <w:tcW w:type="dxa" w:w="598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color w:val="595959"/>
                <w:sz w:val="20"/>
                <w:szCs w:val="20"/>
              </w:rPr>
              <w:t xml:space="preserve">Transfer ₹5,000 to a named contact using provided account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980"/>
      </w:tblGrid>
      <w:tr>
        <w:tc>
          <w:tcPr>
            <w:tcW w:type="dxa" w:w="1200"/>
            <w:tcBorders>
              <w:top w:val="single" w:color="BFBFBF" w:sz="1"/>
              <w:left w:val="single" w:color="BFBFBF" w:sz="1"/>
              <w:bottom w:val="single" w:color="BFBFBF" w:sz="1"/>
              <w:right w:val="single" w:color="BFBFBF" w:sz="1"/>
            </w:tcBorders>
            <w:shd w:fill="D5E3EF" w:val="clear"/>
            <w:tcMar>
              <w:top w:type="dxa" w:w="80"/>
              <w:left w:type="dxa" w:w="120"/>
              <w:bottom w:type="dxa" w:w="80"/>
              <w:right w:type="dxa" w:w="80"/>
            </w:tcMar>
          </w:tcPr>
          <w:p>
            <w:r>
              <w:rPr>
                <w:rFonts w:ascii="Arial" w:cs="Arial" w:eastAsia="Arial" w:hAnsi="Arial"/>
                <w:b/>
                <w:bCs/>
                <w:color w:val="1F4E79"/>
                <w:sz w:val="20"/>
                <w:szCs w:val="20"/>
              </w:rPr>
              <w:t xml:space="preserve">Scenario 2</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b/>
                <w:bCs/>
                <w:color w:val="2F2F2F"/>
                <w:sz w:val="20"/>
                <w:szCs w:val="20"/>
              </w:rPr>
              <w:t xml:space="preserve">Dispute a transaction</w:t>
            </w:r>
          </w:p>
        </w:tc>
        <w:tc>
          <w:tcPr>
            <w:tcW w:type="dxa" w:w="598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color w:val="595959"/>
                <w:sz w:val="20"/>
                <w:szCs w:val="20"/>
              </w:rPr>
              <w:t xml:space="preserve">Identify and dispute an unrecognised transaction from last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980"/>
      </w:tblGrid>
      <w:tr>
        <w:tc>
          <w:tcPr>
            <w:tcW w:type="dxa" w:w="1200"/>
            <w:tcBorders>
              <w:top w:val="single" w:color="BFBFBF" w:sz="1"/>
              <w:left w:val="single" w:color="BFBFBF" w:sz="1"/>
              <w:bottom w:val="single" w:color="BFBFBF" w:sz="1"/>
              <w:right w:val="single" w:color="BFBFBF" w:sz="1"/>
            </w:tcBorders>
            <w:shd w:fill="D5E3EF" w:val="clear"/>
            <w:tcMar>
              <w:top w:type="dxa" w:w="80"/>
              <w:left w:type="dxa" w:w="120"/>
              <w:bottom w:type="dxa" w:w="80"/>
              <w:right w:type="dxa" w:w="80"/>
            </w:tcMar>
          </w:tcPr>
          <w:p>
            <w:r>
              <w:rPr>
                <w:rFonts w:ascii="Arial" w:cs="Arial" w:eastAsia="Arial" w:hAnsi="Arial"/>
                <w:b/>
                <w:bCs/>
                <w:color w:val="1F4E79"/>
                <w:sz w:val="20"/>
                <w:szCs w:val="20"/>
              </w:rPr>
              <w:t xml:space="preserve">Scenario 3</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b/>
                <w:bCs/>
                <w:color w:val="2F2F2F"/>
                <w:sz w:val="20"/>
                <w:szCs w:val="20"/>
              </w:rPr>
              <w:t xml:space="preserve">Feature discovery</w:t>
            </w:r>
          </w:p>
        </w:tc>
        <w:tc>
          <w:tcPr>
            <w:tcW w:type="dxa" w:w="598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color w:val="595959"/>
                <w:sz w:val="20"/>
                <w:szCs w:val="20"/>
              </w:rPr>
              <w:t xml:space="preserve">Find and enable UPI AutoPay for a recurring subscription.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980"/>
      </w:tblGrid>
      <w:tr>
        <w:tc>
          <w:tcPr>
            <w:tcW w:type="dxa" w:w="1200"/>
            <w:tcBorders>
              <w:top w:val="single" w:color="BFBFBF" w:sz="1"/>
              <w:left w:val="single" w:color="BFBFBF" w:sz="1"/>
              <w:bottom w:val="single" w:color="BFBFBF" w:sz="1"/>
              <w:right w:val="single" w:color="BFBFBF" w:sz="1"/>
            </w:tcBorders>
            <w:shd w:fill="D5E3EF" w:val="clear"/>
            <w:tcMar>
              <w:top w:type="dxa" w:w="80"/>
              <w:left w:type="dxa" w:w="120"/>
              <w:bottom w:type="dxa" w:w="80"/>
              <w:right w:type="dxa" w:w="80"/>
            </w:tcMar>
          </w:tcPr>
          <w:p>
            <w:r>
              <w:rPr>
                <w:rFonts w:ascii="Arial" w:cs="Arial" w:eastAsia="Arial" w:hAnsi="Arial"/>
                <w:b/>
                <w:bCs/>
                <w:color w:val="1F4E79"/>
                <w:sz w:val="20"/>
                <w:szCs w:val="20"/>
              </w:rPr>
              <w:t xml:space="preserve">Scenario 4</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b/>
                <w:bCs/>
                <w:color w:val="2F2F2F"/>
                <w:sz w:val="20"/>
                <w:szCs w:val="20"/>
              </w:rPr>
              <w:t xml:space="preserve">Bill payment</w:t>
            </w:r>
          </w:p>
        </w:tc>
        <w:tc>
          <w:tcPr>
            <w:tcW w:type="dxa" w:w="5980"/>
            <w:tcBorders>
              <w:top w:val="single" w:color="BFBFBF" w:sz="1"/>
              <w:left w:val="single" w:color="BFBFBF" w:sz="1"/>
              <w:bottom w:val="single" w:color="BFBFBF" w:sz="1"/>
              <w:right w:val="single" w:color="BFBFBF" w:sz="1"/>
            </w:tcBorders>
            <w:tcMar>
              <w:top w:type="dxa" w:w="80"/>
              <w:left w:type="dxa" w:w="120"/>
              <w:bottom w:type="dxa" w:w="80"/>
              <w:right w:type="dxa" w:w="80"/>
            </w:tcMar>
          </w:tcPr>
          <w:p>
            <w:r>
              <w:rPr>
                <w:rFonts w:ascii="Arial" w:cs="Arial" w:eastAsia="Arial" w:hAnsi="Arial"/>
                <w:color w:val="595959"/>
                <w:sz w:val="20"/>
                <w:szCs w:val="20"/>
              </w:rPr>
              <w:t xml:space="preserve">Pay your electricity bill due this week.</w:t>
            </w:r>
          </w:p>
        </w:tc>
      </w:tr>
    </w:tbl>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Metrics collected</w:t>
      </w:r>
    </w:p>
    <w:p>
      <w:pPr>
        <w:pStyle w:val="ListParagraph"/>
        <w:numPr>
          <w:ilvl w:val="0"/>
          <w:numId w:val="2"/>
        </w:numPr>
        <w:spacing w:after="40" w:before="40"/>
      </w:pPr>
      <w:r>
        <w:rPr>
          <w:rFonts w:ascii="Arial" w:cs="Arial" w:eastAsia="Arial" w:hAnsi="Arial"/>
          <w:color w:val="2F2F2F"/>
          <w:sz w:val="22"/>
          <w:szCs w:val="22"/>
        </w:rPr>
        <w:t xml:space="preserve">Task completion rate (per scenario)</w:t>
      </w:r>
    </w:p>
    <w:p>
      <w:pPr>
        <w:pStyle w:val="ListParagraph"/>
        <w:numPr>
          <w:ilvl w:val="0"/>
          <w:numId w:val="2"/>
        </w:numPr>
        <w:spacing w:after="40" w:before="40"/>
      </w:pPr>
      <w:r>
        <w:rPr>
          <w:rFonts w:ascii="Arial" w:cs="Arial" w:eastAsia="Arial" w:hAnsi="Arial"/>
          <w:color w:val="2F2F2F"/>
          <w:sz w:val="22"/>
          <w:szCs w:val="22"/>
        </w:rPr>
        <w:t xml:space="preserve">Time on task (seconds from scenario start to completion or abandonment)</w:t>
      </w:r>
    </w:p>
    <w:p>
      <w:pPr>
        <w:pStyle w:val="ListParagraph"/>
        <w:numPr>
          <w:ilvl w:val="0"/>
          <w:numId w:val="2"/>
        </w:numPr>
        <w:spacing w:after="40" w:before="40"/>
      </w:pPr>
      <w:r>
        <w:rPr>
          <w:rFonts w:ascii="Arial" w:cs="Arial" w:eastAsia="Arial" w:hAnsi="Arial"/>
          <w:color w:val="2F2F2F"/>
          <w:sz w:val="22"/>
          <w:szCs w:val="22"/>
        </w:rPr>
        <w:t xml:space="preserve">Error rate (number of incorrect actions per session)</w:t>
      </w:r>
    </w:p>
    <w:p>
      <w:pPr>
        <w:pStyle w:val="ListParagraph"/>
        <w:numPr>
          <w:ilvl w:val="0"/>
          <w:numId w:val="2"/>
        </w:numPr>
        <w:spacing w:after="40" w:before="40"/>
      </w:pPr>
      <w:r>
        <w:rPr>
          <w:rFonts w:ascii="Arial" w:cs="Arial" w:eastAsia="Arial" w:hAnsi="Arial"/>
          <w:color w:val="2F2F2F"/>
          <w:sz w:val="22"/>
          <w:szCs w:val="22"/>
        </w:rPr>
        <w:t xml:space="preserve">System Usability Scale (SUS) — 10-item post-test questionnaire scored 0–100</w:t>
      </w:r>
    </w:p>
    <w:p>
      <w:pPr>
        <w:pStyle w:val="ListParagraph"/>
        <w:numPr>
          <w:ilvl w:val="0"/>
          <w:numId w:val="2"/>
        </w:numPr>
        <w:spacing w:after="40" w:before="40"/>
      </w:pPr>
      <w:r>
        <w:rPr>
          <w:rFonts w:ascii="Arial" w:cs="Arial" w:eastAsia="Arial" w:hAnsi="Arial"/>
          <w:color w:val="2F2F2F"/>
          <w:sz w:val="22"/>
          <w:szCs w:val="22"/>
        </w:rPr>
        <w:t xml:space="preserve">Net Promoter Score (NPS) — single post-test question, scored −10 to +10 scale calculated as % Promoters minus % Detractors</w:t>
      </w:r>
    </w:p>
    <w:p>
      <w:pPr>
        <w:pStyle w:val="ListParagraph"/>
        <w:numPr>
          <w:ilvl w:val="0"/>
          <w:numId w:val="2"/>
        </w:numPr>
        <w:spacing w:after="40" w:before="40"/>
      </w:pPr>
      <w:r>
        <w:rPr>
          <w:rFonts w:ascii="Arial" w:cs="Arial" w:eastAsia="Arial" w:hAnsi="Arial"/>
          <w:color w:val="2F2F2F"/>
          <w:sz w:val="22"/>
          <w:szCs w:val="22"/>
        </w:rPr>
        <w:t xml:space="preserve">Think-aloud observations (positive, neutral, negative, coded by researcher)</w:t>
      </w:r>
    </w:p>
    <w:p>
      <w:pPr>
        <w:spacing w:after="0" w:before="0"/>
      </w:pPr>
      <w:r>
        <w:rPr>
          <w:sz w:val="12"/>
          <w:szCs w:val="12"/>
        </w:rP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Findings</w:t>
      </w:r>
    </w:p>
    <w:p>
      <w:pPr>
        <w:pStyle w:val="Heading2"/>
        <w:spacing w:after="80" w:before="280"/>
      </w:pPr>
      <w:r>
        <w:rPr>
          <w:rFonts w:ascii="Arial" w:cs="Arial" w:eastAsia="Arial" w:hAnsi="Arial"/>
          <w:b/>
          <w:bCs/>
          <w:color w:val="1F3864"/>
          <w:sz w:val="26"/>
          <w:szCs w:val="26"/>
        </w:rPr>
        <w:t xml:space="preserve">Quantitative metrics</w:t>
      </w:r>
    </w:p>
    <w:p>
      <w:pPr>
        <w:spacing w:after="60" w:before="200"/>
      </w:pPr>
      <w:r>
        <w:rPr>
          <w:rFonts w:ascii="Arial" w:cs="Arial" w:eastAsia="Arial" w:hAnsi="Arial"/>
          <w:b/>
          <w:bCs/>
          <w:color w:val="595959"/>
          <w:sz w:val="22"/>
          <w:szCs w:val="22"/>
        </w:rPr>
        <w:t xml:space="preserve">Task completion rates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160"/>
        <w:gridCol w:w="1800"/>
        <w:gridCol w:w="1680"/>
      </w:tblGrid>
      <w:tr>
        <w:trPr>
          <w:tblHeader/>
        </w:trP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Task scenario</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Completion rate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Avg. time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Severity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Fund transfer</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20"/>
                <w:szCs w:val="20"/>
              </w:rPr>
              <w:t xml:space="preserve">62%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pPr>
              <w:jc w:val="center"/>
            </w:pPr>
            <w:r>
              <w:rPr>
                <w:rFonts w:ascii="Arial" w:cs="Arial" w:eastAsia="Arial" w:hAnsi="Arial"/>
                <w:color w:val="595959"/>
                <w:sz w:val="20"/>
                <w:szCs w:val="20"/>
              </w:rPr>
              <w:t xml:space="preserve">5 min 18 s</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Critical</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Dispute transaction</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20"/>
                <w:szCs w:val="20"/>
              </w:rPr>
              <w:t xml:space="preserve">38%</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pPr>
              <w:jc w:val="center"/>
            </w:pPr>
            <w:r>
              <w:rPr>
                <w:rFonts w:ascii="Arial" w:cs="Arial" w:eastAsia="Arial" w:hAnsi="Arial"/>
                <w:color w:val="595959"/>
                <w:sz w:val="20"/>
                <w:szCs w:val="20"/>
              </w:rPr>
              <w:t xml:space="preserve">7 min 04 s</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Critical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Feature discovery (UPI AutoPay)</w:t>
            </w:r>
          </w:p>
        </w:tc>
        <w:tc>
          <w:tcPr>
            <w:tcBorders>
              <w:top w:val="single" w:color="BFBFBF" w:sz="1"/>
              <w:left w:val="single" w:color="BFBFBF" w:sz="1"/>
              <w:bottom w:val="single" w:color="BFBFBF" w:sz="1"/>
              <w:right w:val="single" w:color="BFBFBF" w:sz="1"/>
            </w:tcBorders>
            <w:shd w:fill="FFEB9C" w:val="clear"/>
            <w:tcMar>
              <w:top w:type="dxa" w:w="80"/>
              <w:left w:type="dxa" w:w="120"/>
              <w:bottom w:type="dxa" w:w="80"/>
              <w:right w:type="dxa" w:w="80"/>
            </w:tcMar>
          </w:tcPr>
          <w:p>
            <w:pPr>
              <w:jc w:val="center"/>
            </w:pPr>
            <w:r>
              <w:rPr>
                <w:rFonts w:ascii="Arial" w:cs="Arial" w:eastAsia="Arial" w:hAnsi="Arial"/>
                <w:b/>
                <w:bCs/>
                <w:color w:val="7F6000"/>
                <w:sz w:val="20"/>
                <w:szCs w:val="20"/>
              </w:rPr>
              <w:t xml:space="preserve">75%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pPr>
              <w:jc w:val="center"/>
            </w:pPr>
            <w:r>
              <w:rPr>
                <w:rFonts w:ascii="Arial" w:cs="Arial" w:eastAsia="Arial" w:hAnsi="Arial"/>
                <w:color w:val="595959"/>
                <w:sz w:val="20"/>
                <w:szCs w:val="20"/>
              </w:rPr>
              <w:t xml:space="preserve">3 min 20 s</w:t>
            </w:r>
          </w:p>
        </w:tc>
        <w:tc>
          <w:tcPr>
            <w:tcBorders>
              <w:top w:val="single" w:color="BFBFBF" w:sz="1"/>
              <w:left w:val="single" w:color="BFBFBF" w:sz="1"/>
              <w:bottom w:val="single" w:color="BFBFBF" w:sz="1"/>
              <w:right w:val="single" w:color="BFBFBF" w:sz="1"/>
            </w:tcBorders>
            <w:shd w:fill="FFEB9C" w:val="clear"/>
            <w:tcMar>
              <w:top w:type="dxa" w:w="80"/>
              <w:left w:type="dxa" w:w="120"/>
              <w:bottom w:type="dxa" w:w="80"/>
              <w:right w:type="dxa" w:w="80"/>
            </w:tcMar>
          </w:tcPr>
          <w:p>
            <w:pPr>
              <w:jc w:val="center"/>
            </w:pPr>
            <w:r>
              <w:rPr>
                <w:rFonts w:ascii="Arial" w:cs="Arial" w:eastAsia="Arial" w:hAnsi="Arial"/>
                <w:b/>
                <w:bCs/>
                <w:color w:val="7F6000"/>
                <w:sz w:val="18"/>
                <w:szCs w:val="18"/>
              </w:rPr>
              <w:t xml:space="preserve">Moderate</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Bill payment</w:t>
            </w:r>
          </w:p>
        </w:tc>
        <w:tc>
          <w:tcPr>
            <w:tcBorders>
              <w:top w:val="single" w:color="BFBFBF" w:sz="1"/>
              <w:left w:val="single" w:color="BFBFBF" w:sz="1"/>
              <w:bottom w:val="single" w:color="BFBFBF" w:sz="1"/>
              <w:right w:val="single" w:color="BFBFBF" w:sz="1"/>
            </w:tcBorders>
            <w:shd w:fill="E2EFDA" w:val="clear"/>
            <w:tcMar>
              <w:top w:type="dxa" w:w="80"/>
              <w:left w:type="dxa" w:w="120"/>
              <w:bottom w:type="dxa" w:w="80"/>
              <w:right w:type="dxa" w:w="80"/>
            </w:tcMar>
          </w:tcPr>
          <w:p>
            <w:pPr>
              <w:jc w:val="center"/>
            </w:pPr>
            <w:r>
              <w:rPr>
                <w:rFonts w:ascii="Arial" w:cs="Arial" w:eastAsia="Arial" w:hAnsi="Arial"/>
                <w:b/>
                <w:bCs/>
                <w:color w:val="375623"/>
                <w:sz w:val="20"/>
                <w:szCs w:val="20"/>
              </w:rPr>
              <w:t xml:space="preserve">87%</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pPr>
              <w:jc w:val="center"/>
            </w:pPr>
            <w:r>
              <w:rPr>
                <w:rFonts w:ascii="Arial" w:cs="Arial" w:eastAsia="Arial" w:hAnsi="Arial"/>
                <w:color w:val="595959"/>
                <w:sz w:val="20"/>
                <w:szCs w:val="20"/>
              </w:rPr>
              <w:t xml:space="preserve">2 min 09 s</w:t>
            </w:r>
          </w:p>
        </w:tc>
        <w:tc>
          <w:tcPr>
            <w:tcBorders>
              <w:top w:val="single" w:color="BFBFBF" w:sz="1"/>
              <w:left w:val="single" w:color="BFBFBF" w:sz="1"/>
              <w:bottom w:val="single" w:color="BFBFBF" w:sz="1"/>
              <w:right w:val="single" w:color="BFBFBF" w:sz="1"/>
            </w:tcBorders>
            <w:shd w:fill="E2EFDA" w:val="clear"/>
            <w:tcMar>
              <w:top w:type="dxa" w:w="80"/>
              <w:left w:type="dxa" w:w="120"/>
              <w:bottom w:type="dxa" w:w="80"/>
              <w:right w:type="dxa" w:w="80"/>
            </w:tcMar>
          </w:tcPr>
          <w:p>
            <w:pPr>
              <w:jc w:val="center"/>
            </w:pPr>
            <w:r>
              <w:rPr>
                <w:rFonts w:ascii="Arial" w:cs="Arial" w:eastAsia="Arial" w:hAnsi="Arial"/>
                <w:b/>
                <w:bCs/>
                <w:color w:val="375623"/>
                <w:sz w:val="18"/>
                <w:szCs w:val="18"/>
              </w:rPr>
              <w:t xml:space="preserve">Low</w:t>
            </w:r>
          </w:p>
        </w:tc>
      </w:tr>
    </w:tbl>
    <w:p>
      <w:pPr>
        <w:spacing w:after="0" w:before="0"/>
      </w:pPr>
      <w:r>
        <w:rPr>
          <w:sz w:val="12"/>
          <w:szCs w:val="12"/>
        </w:rPr>
        <w:t xml:space="preserve"/>
      </w:r>
    </w:p>
    <w:p>
      <w:pPr>
        <w:spacing w:after="60" w:before="200"/>
      </w:pPr>
      <w:r>
        <w:rPr>
          <w:rFonts w:ascii="Arial" w:cs="Arial" w:eastAsia="Arial" w:hAnsi="Arial"/>
          <w:b/>
          <w:bCs/>
          <w:color w:val="595959"/>
          <w:sz w:val="22"/>
          <w:szCs w:val="22"/>
        </w:rPr>
        <w:t xml:space="preserve">System Usability Scale (SUS)</w:t>
      </w:r>
    </w:p>
    <w:p>
      <w:pPr>
        <w:spacing w:after="80" w:before="60"/>
      </w:pPr>
      <w:r>
        <w:rPr>
          <w:rFonts w:ascii="Arial" w:cs="Arial" w:eastAsia="Arial" w:hAnsi="Arial"/>
          <w:color w:val="2F2F2F"/>
          <w:sz w:val="22"/>
          <w:szCs w:val="22"/>
        </w:rPr>
        <w:t xml:space="preserve">The post-test SUS questionnaire returned an average score of 58 out of 100. Scores in this range are considered “poor” on the Sauro-Lewis adjective scale and fall below the industry benchmark of 68. Scores below 50 indicate a product likely to be abandoned; the current score of 58 suggests users can use the product but with meaningful friction.</w:t>
      </w:r>
    </w:p>
    <w:p>
      <w:pPr>
        <w:spacing w:after="0" w:before="0"/>
      </w:pPr>
      <w:r>
        <w:rPr>
          <w:sz w:val="12"/>
          <w:szCs w:val="12"/>
        </w:rPr>
        <w:t xml:space="preserve"/>
      </w:r>
    </w:p>
    <w:p>
      <w:pPr>
        <w:spacing w:after="80" w:before="60"/>
      </w:pPr>
      <w:r>
        <w:rPr>
          <w:rFonts w:ascii="Arial" w:cs="Arial" w:eastAsia="Arial" w:hAnsi="Arial"/>
          <w:color w:val="2F2F2F"/>
          <w:sz w:val="22"/>
          <w:szCs w:val="22"/>
        </w:rPr>
        <w:t xml:space="preserve">SUS scores by user segment:</w:t>
      </w:r>
    </w:p>
    <w:p>
      <w:pPr>
        <w:pStyle w:val="ListParagraph"/>
        <w:numPr>
          <w:ilvl w:val="0"/>
          <w:numId w:val="2"/>
        </w:numPr>
        <w:spacing w:after="40" w:before="40"/>
      </w:pPr>
      <w:r>
        <w:rPr>
          <w:rFonts w:ascii="Arial" w:cs="Arial" w:eastAsia="Arial" w:hAnsi="Arial"/>
          <w:color w:val="2F2F2F"/>
          <w:sz w:val="22"/>
          <w:szCs w:val="22"/>
        </w:rPr>
        <w:t xml:space="preserve">Current users: 65 — highest segment, familiar with the navigation patterns</w:t>
      </w:r>
    </w:p>
    <w:p>
      <w:pPr>
        <w:pStyle w:val="ListParagraph"/>
        <w:numPr>
          <w:ilvl w:val="0"/>
          <w:numId w:val="2"/>
        </w:numPr>
        <w:spacing w:after="40" w:before="40"/>
      </w:pPr>
      <w:r>
        <w:rPr>
          <w:rFonts w:ascii="Arial" w:cs="Arial" w:eastAsia="Arial" w:hAnsi="Arial"/>
          <w:color w:val="2F2F2F"/>
          <w:sz w:val="22"/>
          <w:szCs w:val="22"/>
        </w:rPr>
        <w:t xml:space="preserve">Competitor users: 57 — compared unfavourably to their current app in think-aloud</w:t>
      </w:r>
    </w:p>
    <w:p>
      <w:pPr>
        <w:pStyle w:val="ListParagraph"/>
        <w:numPr>
          <w:ilvl w:val="0"/>
          <w:numId w:val="2"/>
        </w:numPr>
        <w:spacing w:after="40" w:before="40"/>
      </w:pPr>
      <w:r>
        <w:rPr>
          <w:rFonts w:ascii="Arial" w:cs="Arial" w:eastAsia="Arial" w:hAnsi="Arial"/>
          <w:color w:val="2F2F2F"/>
          <w:sz w:val="22"/>
          <w:szCs w:val="22"/>
        </w:rPr>
        <w:t xml:space="preserve">New users: 49 — lowest segment, heavily impacted by error messages and navigation confusion</w:t>
      </w:r>
    </w:p>
    <w:p>
      <w:pPr>
        <w:spacing w:after="0" w:before="0"/>
      </w:pPr>
      <w:r>
        <w:rPr>
          <w:sz w:val="12"/>
          <w:szCs w:val="12"/>
        </w:rPr>
        <w:t xml:space="preserve"/>
      </w:r>
    </w:p>
    <w:p>
      <w:pPr>
        <w:spacing w:after="60" w:before="200"/>
      </w:pPr>
      <w:r>
        <w:rPr>
          <w:rFonts w:ascii="Arial" w:cs="Arial" w:eastAsia="Arial" w:hAnsi="Arial"/>
          <w:b/>
          <w:bCs/>
          <w:color w:val="595959"/>
          <w:sz w:val="22"/>
          <w:szCs w:val="22"/>
        </w:rPr>
        <w:t xml:space="preserve">Net Promoter Score (NPS)</w:t>
      </w:r>
    </w:p>
    <w:p>
      <w:pPr>
        <w:spacing w:after="80" w:before="60"/>
      </w:pPr>
      <w:r>
        <w:rPr>
          <w:rFonts w:ascii="Arial" w:cs="Arial" w:eastAsia="Arial" w:hAnsi="Arial"/>
          <w:color w:val="2F2F2F"/>
          <w:sz w:val="22"/>
          <w:szCs w:val="22"/>
        </w:rPr>
        <w:t xml:space="preserve">The overall NPS is +15, derived from 40% Promoters, 35% Passives, and 25% Detractors. While positive, this NPS is moderate and suggests the product has not yet reached the level of experience required to generate strong word-of-mouth recommendation.</w:t>
      </w:r>
    </w:p>
    <w:p>
      <w:pPr>
        <w:spacing w:after="0" w:before="0"/>
      </w:pPr>
      <w:r>
        <w:rPr>
          <w:sz w:val="12"/>
          <w:szCs w:val="12"/>
        </w:rPr>
        <w:t xml:space="preserve"/>
      </w:r>
    </w:p>
    <w:p>
      <w:pPr>
        <w:spacing w:after="80" w:before="60"/>
      </w:pPr>
      <w:r>
        <w:rPr>
          <w:rFonts w:ascii="Arial" w:cs="Arial" w:eastAsia="Arial" w:hAnsi="Arial"/>
          <w:color w:val="2F2F2F"/>
          <w:sz w:val="22"/>
          <w:szCs w:val="22"/>
        </w:rPr>
        <w:t xml:space="preserve">Representative verbatims:</w:t>
      </w:r>
    </w:p>
    <w:p>
      <w:pPr>
        <w:pStyle w:val="ListParagraph"/>
        <w:numPr>
          <w:ilvl w:val="0"/>
          <w:numId w:val="2"/>
        </w:numPr>
        <w:spacing w:after="40" w:before="40"/>
      </w:pPr>
      <w:r>
        <w:rPr>
          <w:rFonts w:ascii="Arial" w:cs="Arial" w:eastAsia="Arial" w:hAnsi="Arial"/>
          <w:color w:val="2F2F2F"/>
          <w:sz w:val="22"/>
          <w:szCs w:val="22"/>
        </w:rPr>
        <w:t xml:space="preserve">“I’d recommend it to my parents but I’d warn them about the transfer steps first.” — Participant 3</w:t>
      </w:r>
    </w:p>
    <w:p>
      <w:pPr>
        <w:pStyle w:val="ListParagraph"/>
        <w:numPr>
          <w:ilvl w:val="0"/>
          <w:numId w:val="2"/>
        </w:numPr>
        <w:spacing w:after="40" w:before="40"/>
      </w:pPr>
      <w:r>
        <w:rPr>
          <w:rFonts w:ascii="Arial" w:cs="Arial" w:eastAsia="Arial" w:hAnsi="Arial"/>
          <w:color w:val="2F2F2F"/>
          <w:sz w:val="22"/>
          <w:szCs w:val="22"/>
        </w:rPr>
        <w:t xml:space="preserve">“I use [Competitor App] and this feels a few years behind.” — Participant 6</w:t>
      </w:r>
    </w:p>
    <w:p>
      <w:pPr>
        <w:pStyle w:val="ListParagraph"/>
        <w:numPr>
          <w:ilvl w:val="0"/>
          <w:numId w:val="2"/>
        </w:numPr>
        <w:spacing w:after="40" w:before="40"/>
      </w:pPr>
      <w:r>
        <w:rPr>
          <w:rFonts w:ascii="Arial" w:cs="Arial" w:eastAsia="Arial" w:hAnsi="Arial"/>
          <w:color w:val="2F2F2F"/>
          <w:sz w:val="22"/>
          <w:szCs w:val="22"/>
        </w:rPr>
        <w:t xml:space="preserve">“Once I found where things were, it was quite smooth.” — Participant 1</w:t>
      </w:r>
    </w:p>
    <w:p>
      <w:pPr>
        <w:spacing w:after="0" w:before="0"/>
      </w:pPr>
      <w:r>
        <w:rPr>
          <w:sz w:val="12"/>
          <w:szCs w:val="12"/>
        </w:rPr>
        <w:t xml:space="preserve"/>
      </w:r>
    </w:p>
    <w:p>
      <w:r>
        <w:br w:type="page"/>
      </w:r>
    </w:p>
    <w:p>
      <w:pPr>
        <w:pStyle w:val="Heading2"/>
        <w:spacing w:after="80" w:before="280"/>
      </w:pPr>
      <w:r>
        <w:rPr>
          <w:rFonts w:ascii="Arial" w:cs="Arial" w:eastAsia="Arial" w:hAnsi="Arial"/>
          <w:b/>
          <w:bCs/>
          <w:color w:val="1F3864"/>
          <w:sz w:val="26"/>
          <w:szCs w:val="26"/>
        </w:rPr>
        <w:t xml:space="preserve">Key usability findings</w:t>
      </w:r>
    </w:p>
    <w:p>
      <w:pPr>
        <w:spacing w:after="80" w:before="60"/>
      </w:pPr>
      <w:r>
        <w:rPr>
          <w:rFonts w:ascii="Arial" w:cs="Arial" w:eastAsia="Arial" w:hAnsi="Arial"/>
          <w:color w:val="2F2F2F"/>
          <w:sz w:val="22"/>
          <w:szCs w:val="22"/>
        </w:rPr>
        <w:t xml:space="preserve">Four findings emerged with sufficient severity and frequency to warrant prioritised remediation. Each finding is classified by severity and the proportion of participants affected.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D6" w:val="clear"/>
            <w:tcMar>
              <w:top w:type="dxa" w:w="100"/>
              <w:left w:type="dxa" w:w="120"/>
              <w:bottom w:type="dxa" w:w="100"/>
              <w:right w:type="dxa" w:w="80"/>
            </w:tcMar>
            <w:vAlign w:val="top"/>
          </w:tcPr>
          <w:p>
            <w:pPr>
              <w:jc w:val="center"/>
            </w:pPr>
            <w:r>
              <w:rPr>
                <w:rFonts w:ascii="Arial" w:cs="Arial" w:eastAsia="Arial" w:hAnsi="Arial"/>
                <w:b/>
                <w:bCs/>
                <w:color w:val="833C00"/>
                <w:sz w:val="18"/>
                <w:szCs w:val="18"/>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20"/>
              <w:bottom w:type="dxa" w:w="100"/>
              <w:right w:type="dxa" w:w="120"/>
            </w:tcMar>
          </w:tcPr>
          <w:p>
            <w:pPr>
              <w:spacing w:after="60" w:before="0"/>
            </w:pPr>
            <w:r>
              <w:rPr>
                <w:rFonts w:ascii="Arial" w:cs="Arial" w:eastAsia="Arial" w:hAnsi="Arial"/>
                <w:b/>
                <w:bCs/>
                <w:color w:val="2F2F2F"/>
                <w:sz w:val="22"/>
                <w:szCs w:val="22"/>
              </w:rPr>
              <w:t xml:space="preserve">Finding 1 — Transfer function is not discoverable</w:t>
            </w:r>
          </w:p>
          <w:p>
            <w:pPr>
              <w:spacing w:after="80" w:before="0"/>
            </w:pPr>
            <w:r>
              <w:rPr>
                <w:rFonts w:ascii="Arial" w:cs="Arial" w:eastAsia="Arial" w:hAnsi="Arial"/>
                <w:color w:val="595959"/>
                <w:sz w:val="20"/>
                <w:szCs w:val="20"/>
              </w:rPr>
              <w:t xml:space="preserve">6 of 8 participants (75%) were unable to independently locate the fund transfer function. Users expected a prominent call-to-action on the home screen. The transfer option is buried two levels deep inside a hamburger navigation menu, with no iconographic hint on the home screen. Three participants navigated to Bill Payments before asking for help; two attempted to use the search bar.</w:t>
            </w:r>
          </w:p>
          <w:p>
            <w:pPr>
              <w:spacing w:after="0" w:before="0"/>
            </w:pPr>
            <w:r>
              <w:rPr>
                <w:rFonts w:ascii="Arial" w:cs="Arial" w:eastAsia="Arial" w:hAnsi="Arial"/>
                <w:b/>
                <w:bCs/>
                <w:color w:val="1F4E79"/>
                <w:sz w:val="20"/>
                <w:szCs w:val="20"/>
              </w:rPr>
              <w:t xml:space="preserve">Recommendation: </w:t>
            </w:r>
            <w:r>
              <w:rPr>
                <w:rFonts w:ascii="Arial" w:cs="Arial" w:eastAsia="Arial" w:hAnsi="Arial"/>
                <w:color w:val="1F4E79"/>
                <w:sz w:val="20"/>
                <w:szCs w:val="20"/>
              </w:rPr>
              <w:t xml:space="preserve">Add a persistent bottom navigation bar with Transfer as a primary tab. Introduce a floating action button (FAB) on the home screen. Conduct a card sort to validate revised IA before implementation.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D6" w:val="clear"/>
            <w:tcMar>
              <w:top w:type="dxa" w:w="100"/>
              <w:left w:type="dxa" w:w="120"/>
              <w:bottom w:type="dxa" w:w="100"/>
              <w:right w:type="dxa" w:w="80"/>
            </w:tcMar>
            <w:vAlign w:val="top"/>
          </w:tcPr>
          <w:p>
            <w:pPr>
              <w:jc w:val="center"/>
            </w:pPr>
            <w:r>
              <w:rPr>
                <w:rFonts w:ascii="Arial" w:cs="Arial" w:eastAsia="Arial" w:hAnsi="Arial"/>
                <w:b/>
                <w:bCs/>
                <w:color w:val="833C00"/>
                <w:sz w:val="18"/>
                <w:szCs w:val="18"/>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20"/>
              <w:bottom w:type="dxa" w:w="100"/>
              <w:right w:type="dxa" w:w="120"/>
            </w:tcMar>
          </w:tcPr>
          <w:p>
            <w:pPr>
              <w:spacing w:after="60" w:before="0"/>
            </w:pPr>
            <w:r>
              <w:rPr>
                <w:rFonts w:ascii="Arial" w:cs="Arial" w:eastAsia="Arial" w:hAnsi="Arial"/>
                <w:b/>
                <w:bCs/>
                <w:color w:val="2F2F2F"/>
                <w:sz w:val="22"/>
                <w:szCs w:val="22"/>
              </w:rPr>
              <w:t xml:space="preserve">Finding 2 — Error messages provide no corrective guidance</w:t>
            </w:r>
          </w:p>
          <w:p>
            <w:pPr>
              <w:spacing w:after="80" w:before="0"/>
            </w:pPr>
            <w:r>
              <w:rPr>
                <w:rFonts w:ascii="Arial" w:cs="Arial" w:eastAsia="Arial" w:hAnsi="Arial"/>
                <w:color w:val="595959"/>
                <w:sz w:val="20"/>
                <w:szCs w:val="20"/>
              </w:rPr>
              <w:t xml:space="preserve">5 of 8 participants (62%) encountered an error message during the fund transfer or dispute task. Every error displayed the generic message ‘Transaction failed’ with a single ‘OK’ dismissal button and no explanation of the cause or next step. Of these five participants, three abandoned the task entirely rather than retry.</w:t>
            </w:r>
          </w:p>
          <w:p>
            <w:pPr>
              <w:spacing w:after="0" w:before="0"/>
            </w:pPr>
            <w:r>
              <w:rPr>
                <w:rFonts w:ascii="Arial" w:cs="Arial" w:eastAsia="Arial" w:hAnsi="Arial"/>
                <w:b/>
                <w:bCs/>
                <w:color w:val="1F4E79"/>
                <w:sz w:val="20"/>
                <w:szCs w:val="20"/>
              </w:rPr>
              <w:t xml:space="preserve">Recommendation: </w:t>
            </w:r>
            <w:r>
              <w:rPr>
                <w:rFonts w:ascii="Arial" w:cs="Arial" w:eastAsia="Arial" w:hAnsi="Arial"/>
                <w:color w:val="1F4E79"/>
                <w:sz w:val="20"/>
                <w:szCs w:val="20"/>
              </w:rPr>
              <w:t xml:space="preserve">Rewrite all error messages following the pattern: what went wrong + why + what to do next. Example: ‘IFSC code not found. Check the code printed on your cheque book or ask the beneficiary.’ Implement inline field-level validation to catch errors before form submission.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EB9C" w:val="clear"/>
            <w:tcMar>
              <w:top w:type="dxa" w:w="100"/>
              <w:left w:type="dxa" w:w="120"/>
              <w:bottom w:type="dxa" w:w="100"/>
              <w:right w:type="dxa" w:w="80"/>
            </w:tcMar>
            <w:vAlign w:val="top"/>
          </w:tcPr>
          <w:p>
            <w:pPr>
              <w:jc w:val="center"/>
            </w:pPr>
            <w:r>
              <w:rPr>
                <w:rFonts w:ascii="Arial" w:cs="Arial" w:eastAsia="Arial" w:hAnsi="Arial"/>
                <w:b/>
                <w:bCs/>
                <w:color w:val="7F6000"/>
                <w:sz w:val="18"/>
                <w:szCs w:val="18"/>
              </w:rPr>
              <w:t xml:space="preserve">MAJOR</w:t>
            </w:r>
          </w:p>
        </w:tc>
        <w:tc>
          <w:tcPr>
            <w:tcW w:type="dxa" w:w="8160"/>
            <w:tcBorders>
              <w:top w:val="none" w:color="FFFFFF" w:sz="0"/>
              <w:left w:val="none" w:color="FFFFFF" w:sz="0"/>
              <w:bottom w:val="none" w:color="FFFFFF" w:sz="0"/>
              <w:right w:val="none" w:color="FFFFFF" w:sz="0"/>
            </w:tcBorders>
            <w:shd w:fill="FAFAFA" w:val="clear"/>
            <w:tcMar>
              <w:top w:type="dxa" w:w="100"/>
              <w:left w:type="dxa" w:w="120"/>
              <w:bottom w:type="dxa" w:w="100"/>
              <w:right w:type="dxa" w:w="120"/>
            </w:tcMar>
          </w:tcPr>
          <w:p>
            <w:pPr>
              <w:spacing w:after="60" w:before="0"/>
            </w:pPr>
            <w:r>
              <w:rPr>
                <w:rFonts w:ascii="Arial" w:cs="Arial" w:eastAsia="Arial" w:hAnsi="Arial"/>
                <w:b/>
                <w:bCs/>
                <w:color w:val="2F2F2F"/>
                <w:sz w:val="22"/>
                <w:szCs w:val="22"/>
              </w:rPr>
              <w:t xml:space="preserve">Finding 3 — Transaction history load times cause abandonment</w:t>
            </w:r>
          </w:p>
          <w:p>
            <w:pPr>
              <w:spacing w:after="80" w:before="0"/>
            </w:pPr>
            <w:r>
              <w:rPr>
                <w:rFonts w:ascii="Arial" w:cs="Arial" w:eastAsia="Arial" w:hAnsi="Arial"/>
                <w:color w:val="595959"/>
                <w:sz w:val="20"/>
                <w:szCs w:val="20"/>
              </w:rPr>
              <w:t xml:space="preserve">4 of 8 participants (50%) experienced transaction history load times between 4 and 8 seconds. All four expressed uncertainty as to whether the app had frozen; two attempted to restart the session. No loading indicator or skeleton state is displayed during this period.</w:t>
            </w:r>
          </w:p>
          <w:p>
            <w:pPr>
              <w:spacing w:after="0" w:before="0"/>
            </w:pPr>
            <w:r>
              <w:rPr>
                <w:rFonts w:ascii="Arial" w:cs="Arial" w:eastAsia="Arial" w:hAnsi="Arial"/>
                <w:b/>
                <w:bCs/>
                <w:color w:val="1F4E79"/>
                <w:sz w:val="20"/>
                <w:szCs w:val="20"/>
              </w:rPr>
              <w:t xml:space="preserve">Recommendation: </w:t>
            </w:r>
            <w:r>
              <w:rPr>
                <w:rFonts w:ascii="Arial" w:cs="Arial" w:eastAsia="Arial" w:hAnsi="Arial"/>
                <w:color w:val="1F4E79"/>
                <w:sz w:val="20"/>
                <w:szCs w:val="20"/>
              </w:rPr>
              <w:t xml:space="preserve">Implement skeleton loading states for transaction history to communicate progress. Paginate results to limit initial query size, targeting sub-2 second render. Conduct performance profiling to identify root cause of API latency.</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2F2F2" w:val="clear"/>
            <w:tcMar>
              <w:top w:type="dxa" w:w="100"/>
              <w:left w:type="dxa" w:w="120"/>
              <w:bottom w:type="dxa" w:w="100"/>
              <w:right w:type="dxa" w:w="80"/>
            </w:tcMar>
            <w:vAlign w:val="top"/>
          </w:tcPr>
          <w:p>
            <w:pPr>
              <w:jc w:val="center"/>
            </w:pPr>
            <w:r>
              <w:rPr>
                <w:rFonts w:ascii="Arial" w:cs="Arial" w:eastAsia="Arial" w:hAnsi="Arial"/>
                <w:b/>
                <w:bCs/>
                <w:color w:val="595959"/>
                <w:sz w:val="18"/>
                <w:szCs w:val="18"/>
              </w:rPr>
              <w:t xml:space="preserve">MINOR</w:t>
            </w:r>
          </w:p>
        </w:tc>
        <w:tc>
          <w:tcPr>
            <w:tcW w:type="dxa" w:w="8160"/>
            <w:tcBorders>
              <w:top w:val="none" w:color="FFFFFF" w:sz="0"/>
              <w:left w:val="none" w:color="FFFFFF" w:sz="0"/>
              <w:bottom w:val="none" w:color="FFFFFF" w:sz="0"/>
              <w:right w:val="none" w:color="FFFFFF" w:sz="0"/>
            </w:tcBorders>
            <w:shd w:fill="FAFAFA" w:val="clear"/>
            <w:tcMar>
              <w:top w:type="dxa" w:w="100"/>
              <w:left w:type="dxa" w:w="120"/>
              <w:bottom w:type="dxa" w:w="100"/>
              <w:right w:type="dxa" w:w="120"/>
            </w:tcMar>
          </w:tcPr>
          <w:p>
            <w:pPr>
              <w:spacing w:after="60" w:before="0"/>
            </w:pPr>
            <w:r>
              <w:rPr>
                <w:rFonts w:ascii="Arial" w:cs="Arial" w:eastAsia="Arial" w:hAnsi="Arial"/>
                <w:b/>
                <w:bCs/>
                <w:color w:val="2F2F2F"/>
                <w:sz w:val="22"/>
                <w:szCs w:val="22"/>
              </w:rPr>
              <w:t xml:space="preserve">Finding 4 — Tap targets below accessible size threshold</w:t>
            </w:r>
          </w:p>
          <w:p>
            <w:pPr>
              <w:spacing w:after="80" w:before="0"/>
            </w:pPr>
            <w:r>
              <w:rPr>
                <w:rFonts w:ascii="Arial" w:cs="Arial" w:eastAsia="Arial" w:hAnsi="Arial"/>
                <w:color w:val="595959"/>
                <w:sz w:val="20"/>
                <w:szCs w:val="20"/>
              </w:rPr>
              <w:t xml:space="preserve">3 of 8 participants (37%) experienced mis-taps on CTA buttons and icon links. Measurement of the affected elements shows touch targets ranging from 28–34 px, below the 44 px minimum recommended by WCAG 2.5.5 and Apple Human Interface Guidelines. The issue disproportionately affected the oldest participant (55) and competitor-app users accustomed to larger targets.</w:t>
            </w:r>
          </w:p>
          <w:p>
            <w:pPr>
              <w:spacing w:after="0" w:before="0"/>
            </w:pPr>
            <w:r>
              <w:rPr>
                <w:rFonts w:ascii="Arial" w:cs="Arial" w:eastAsia="Arial" w:hAnsi="Arial"/>
                <w:b/>
                <w:bCs/>
                <w:color w:val="1F4E79"/>
                <w:sz w:val="20"/>
                <w:szCs w:val="20"/>
              </w:rPr>
              <w:t xml:space="preserve">Recommendation: </w:t>
            </w:r>
            <w:r>
              <w:rPr>
                <w:rFonts w:ascii="Arial" w:cs="Arial" w:eastAsia="Arial" w:hAnsi="Arial"/>
                <w:color w:val="1F4E79"/>
                <w:sz w:val="20"/>
                <w:szCs w:val="20"/>
              </w:rPr>
              <w:t xml:space="preserve">Conduct a full audit of all interactive elements. Enforce a minimum touch target of 44×44 px with adequate spacing between adjacent targets. Consider increasing button text size from 13 px to 15 px throughout the app.</w:t>
            </w:r>
          </w:p>
        </w:tc>
      </w:tr>
    </w:tbl>
    <w:p>
      <w:pPr>
        <w:spacing w:after="0" w:before="0"/>
      </w:pPr>
      <w:r>
        <w:rPr>
          <w:sz w:val="12"/>
          <w:szCs w:val="12"/>
        </w:rPr>
        <w:t xml:space="preserve"/>
      </w:r>
    </w:p>
    <w:p>
      <w:r>
        <w:br w:type="page"/>
      </w:r>
    </w:p>
    <w:p>
      <w:pPr>
        <w:pStyle w:val="Heading2"/>
        <w:spacing w:after="80" w:before="280"/>
      </w:pPr>
      <w:r>
        <w:rPr>
          <w:rFonts w:ascii="Arial" w:cs="Arial" w:eastAsia="Arial" w:hAnsi="Arial"/>
          <w:b/>
          <w:bCs/>
          <w:color w:val="1F3864"/>
          <w:sz w:val="26"/>
          <w:szCs w:val="26"/>
        </w:rPr>
        <w:t xml:space="preserve">Positive findings</w:t>
      </w:r>
    </w:p>
    <w:p>
      <w:pPr>
        <w:spacing w:after="80" w:before="60"/>
      </w:pPr>
      <w:r>
        <w:rPr>
          <w:rFonts w:ascii="Arial" w:cs="Arial" w:eastAsia="Arial" w:hAnsi="Arial"/>
          <w:color w:val="2F2F2F"/>
          <w:sz w:val="22"/>
          <w:szCs w:val="22"/>
        </w:rPr>
        <w:t xml:space="preserve">Not all findings were negative. The study identified several areas of genuine strength that should be maintained through the iteration cycle:</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2F2F2F"/>
          <w:sz w:val="22"/>
          <w:szCs w:val="22"/>
        </w:rPr>
        <w:t xml:space="preserve">OTP / two-factor authentication: 7 of 8 participants completed the OTP step without hesitation, with several commenting that it “felt familiar and safe”. This is a UX strength to preserve.</w:t>
      </w:r>
    </w:p>
    <w:p>
      <w:pPr>
        <w:pStyle w:val="ListParagraph"/>
        <w:numPr>
          <w:ilvl w:val="0"/>
          <w:numId w:val="2"/>
        </w:numPr>
        <w:spacing w:after="40" w:before="40"/>
      </w:pPr>
      <w:r>
        <w:rPr>
          <w:rFonts w:ascii="Arial" w:cs="Arial" w:eastAsia="Arial" w:hAnsi="Arial"/>
          <w:color w:val="2F2F2F"/>
          <w:sz w:val="22"/>
          <w:szCs w:val="22"/>
        </w:rPr>
        <w:t xml:space="preserve">Confirmation screen before transfer: Participants consistently paused and carefully reviewed the confirmation screen before submitting a transfer, expressing confidence in the design. One participant said “I like that it asks me to double-check before I commit”.</w:t>
      </w:r>
    </w:p>
    <w:p>
      <w:pPr>
        <w:pStyle w:val="ListParagraph"/>
        <w:numPr>
          <w:ilvl w:val="0"/>
          <w:numId w:val="2"/>
        </w:numPr>
        <w:spacing w:after="40" w:before="40"/>
      </w:pPr>
      <w:r>
        <w:rPr>
          <w:rFonts w:ascii="Arial" w:cs="Arial" w:eastAsia="Arial" w:hAnsi="Arial"/>
          <w:color w:val="2F2F2F"/>
          <w:sz w:val="22"/>
          <w:szCs w:val="22"/>
        </w:rPr>
        <w:t xml:space="preserve">Bill payment journey: The shortest task completion time (2 min 9 s) and highest success rate (87%) were both on bill payments. The categorisation of billers and the autofill of account numbers were praised.</w:t>
      </w:r>
    </w:p>
    <w:p>
      <w:pPr>
        <w:pStyle w:val="ListParagraph"/>
        <w:numPr>
          <w:ilvl w:val="0"/>
          <w:numId w:val="2"/>
        </w:numPr>
        <w:spacing w:after="40" w:before="40"/>
      </w:pPr>
      <w:r>
        <w:rPr>
          <w:rFonts w:ascii="Arial" w:cs="Arial" w:eastAsia="Arial" w:hAnsi="Arial"/>
          <w:color w:val="2F2F2F"/>
          <w:sz w:val="22"/>
          <w:szCs w:val="22"/>
        </w:rPr>
        <w:t xml:space="preserve">Visual design and branding: Multiple participants made positive comments about the visual clarity and brand colours, describing the app as “looking professional and trustworthy”.</w:t>
      </w:r>
    </w:p>
    <w:p>
      <w:pPr>
        <w:spacing w:after="0" w:before="0"/>
      </w:pPr>
      <w:r>
        <w:rPr>
          <w:sz w:val="12"/>
          <w:szCs w:val="12"/>
        </w:rP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Design Recommendations</w:t>
      </w:r>
    </w:p>
    <w:p>
      <w:pPr>
        <w:spacing w:after="80" w:before="60"/>
      </w:pPr>
      <w:r>
        <w:rPr>
          <w:rFonts w:ascii="Arial" w:cs="Arial" w:eastAsia="Arial" w:hAnsi="Arial"/>
          <w:color w:val="2F2F2F"/>
          <w:sz w:val="22"/>
          <w:szCs w:val="22"/>
        </w:rPr>
        <w:t xml:space="preserve">The following recommendations are mapped to findings and prioritised for delivery across three sprint cycles. Each recommendation includes a rationale, effort estimate, and expected impact.</w:t>
      </w:r>
    </w:p>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Sprint 1 — Critical (Weeks 1–2)</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500"/>
        <w:gridCol w:w="1460"/>
      </w:tblGrid>
      <w:tr>
        <w:trPr>
          <w:tblHeader/>
        </w:trP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Recommendation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Rationale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Effort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Impact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19"/>
                <w:szCs w:val="19"/>
              </w:rPr>
              <w:t xml:space="preserve">Introduce bottom navigation bar with Transfer as primary tab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595959"/>
                <w:sz w:val="19"/>
                <w:szCs w:val="19"/>
              </w:rPr>
              <w:t xml:space="preserve">Directly addresses Finding 1. Removes the primary point of failure for 75% of users.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pPr>
              <w:jc w:val="center"/>
            </w:pPr>
            <w:r>
              <w:rPr>
                <w:rFonts w:ascii="Arial" w:cs="Arial" w:eastAsia="Arial" w:hAnsi="Arial"/>
                <w:color w:val="595959"/>
                <w:sz w:val="19"/>
                <w:szCs w:val="19"/>
              </w:rPr>
              <w:t xml:space="preserve">Medium</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Critical</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19"/>
                <w:szCs w:val="19"/>
              </w:rPr>
              <w:t xml:space="preserve">Add Transfer FAB to home screen</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595959"/>
                <w:sz w:val="19"/>
                <w:szCs w:val="19"/>
              </w:rPr>
              <w:t xml:space="preserve">Secondary affordance for discoverability; low implementation cost against high impact.</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pPr>
              <w:jc w:val="center"/>
            </w:pPr>
            <w:r>
              <w:rPr>
                <w:rFonts w:ascii="Arial" w:cs="Arial" w:eastAsia="Arial" w:hAnsi="Arial"/>
                <w:color w:val="595959"/>
                <w:sz w:val="19"/>
                <w:szCs w:val="19"/>
              </w:rPr>
              <w:t xml:space="preserve">Low</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Critical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19"/>
                <w:szCs w:val="19"/>
              </w:rPr>
              <w:t xml:space="preserve">Rewrite all error messages with cause + corrective action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595959"/>
                <w:sz w:val="19"/>
                <w:szCs w:val="19"/>
              </w:rPr>
              <w:t xml:space="preserve">Addresses 3 task abandonments in Finding 2. Error copy can be shipped as a content-only update.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pPr>
              <w:jc w:val="center"/>
            </w:pPr>
            <w:r>
              <w:rPr>
                <w:rFonts w:ascii="Arial" w:cs="Arial" w:eastAsia="Arial" w:hAnsi="Arial"/>
                <w:color w:val="595959"/>
                <w:sz w:val="19"/>
                <w:szCs w:val="19"/>
              </w:rPr>
              <w:t xml:space="preserve">Low</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Critical</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19"/>
                <w:szCs w:val="19"/>
              </w:rPr>
              <w:t xml:space="preserve">Implement inline field validation on transfer form</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595959"/>
                <w:sz w:val="19"/>
                <w:szCs w:val="19"/>
              </w:rPr>
              <w:t xml:space="preserve">Prevents error state from occurring in the first place. Reduces cognitive load and back-and-forth.</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pPr>
              <w:jc w:val="center"/>
            </w:pPr>
            <w:r>
              <w:rPr>
                <w:rFonts w:ascii="Arial" w:cs="Arial" w:eastAsia="Arial" w:hAnsi="Arial"/>
                <w:color w:val="595959"/>
                <w:sz w:val="19"/>
                <w:szCs w:val="19"/>
              </w:rPr>
              <w:t xml:space="preserve">Medium</w:t>
            </w:r>
          </w:p>
        </w:tc>
        <w:tc>
          <w:tcPr>
            <w:tcBorders>
              <w:top w:val="single" w:color="BFBFBF" w:sz="1"/>
              <w:left w:val="single" w:color="BFBFBF" w:sz="1"/>
              <w:bottom w:val="single" w:color="BFBFBF" w:sz="1"/>
              <w:right w:val="single" w:color="BFBFBF" w:sz="1"/>
            </w:tcBorders>
            <w:shd w:fill="FCE4D6" w:val="clear"/>
            <w:tcMar>
              <w:top w:type="dxa" w:w="80"/>
              <w:left w:type="dxa" w:w="120"/>
              <w:bottom w:type="dxa" w:w="80"/>
              <w:right w:type="dxa" w:w="80"/>
            </w:tcMar>
          </w:tcPr>
          <w:p>
            <w:pPr>
              <w:jc w:val="center"/>
            </w:pPr>
            <w:r>
              <w:rPr>
                <w:rFonts w:ascii="Arial" w:cs="Arial" w:eastAsia="Arial" w:hAnsi="Arial"/>
                <w:b/>
                <w:bCs/>
                <w:color w:val="833C00"/>
                <w:sz w:val="18"/>
                <w:szCs w:val="18"/>
              </w:rPr>
              <w:t xml:space="preserve">High</w:t>
            </w:r>
          </w:p>
        </w:tc>
      </w:tr>
    </w:tbl>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Sprint 2 — Major (Weeks 3–4)</w:t>
      </w:r>
    </w:p>
    <w:p>
      <w:pPr>
        <w:pStyle w:val="ListParagraph"/>
        <w:numPr>
          <w:ilvl w:val="0"/>
          <w:numId w:val="2"/>
        </w:numPr>
        <w:spacing w:after="40" w:before="40"/>
      </w:pPr>
      <w:r>
        <w:rPr>
          <w:rFonts w:ascii="Arial" w:cs="Arial" w:eastAsia="Arial" w:hAnsi="Arial"/>
          <w:color w:val="2F2F2F"/>
          <w:sz w:val="22"/>
          <w:szCs w:val="22"/>
        </w:rPr>
        <w:t xml:space="preserve">Implement skeleton loading states for transaction history to communicate progress during API calls.</w:t>
      </w:r>
    </w:p>
    <w:p>
      <w:pPr>
        <w:pStyle w:val="ListParagraph"/>
        <w:numPr>
          <w:ilvl w:val="0"/>
          <w:numId w:val="2"/>
        </w:numPr>
        <w:spacing w:after="40" w:before="40"/>
      </w:pPr>
      <w:r>
        <w:rPr>
          <w:rFonts w:ascii="Arial" w:cs="Arial" w:eastAsia="Arial" w:hAnsi="Arial"/>
          <w:color w:val="2F2F2F"/>
          <w:sz w:val="22"/>
          <w:szCs w:val="22"/>
        </w:rPr>
        <w:t xml:space="preserve">Paginate transaction history: load the most recent 20 transactions initially with infinite scroll or a ‘Load more’ control.</w:t>
      </w:r>
    </w:p>
    <w:p>
      <w:pPr>
        <w:pStyle w:val="ListParagraph"/>
        <w:numPr>
          <w:ilvl w:val="0"/>
          <w:numId w:val="2"/>
        </w:numPr>
        <w:spacing w:after="40" w:before="40"/>
      </w:pPr>
      <w:r>
        <w:rPr>
          <w:rFonts w:ascii="Arial" w:cs="Arial" w:eastAsia="Arial" w:hAnsi="Arial"/>
          <w:color w:val="2F2F2F"/>
          <w:sz w:val="22"/>
          <w:szCs w:val="22"/>
        </w:rPr>
        <w:t xml:space="preserve">Profile and optimise the transaction history API endpoint. Target: under 2 seconds on a standard 4G connection.</w:t>
      </w:r>
    </w:p>
    <w:p>
      <w:pPr>
        <w:pStyle w:val="ListParagraph"/>
        <w:numPr>
          <w:ilvl w:val="0"/>
          <w:numId w:val="2"/>
        </w:numPr>
        <w:spacing w:after="40" w:before="40"/>
      </w:pPr>
      <w:r>
        <w:rPr>
          <w:rFonts w:ascii="Arial" w:cs="Arial" w:eastAsia="Arial" w:hAnsi="Arial"/>
          <w:color w:val="2F2F2F"/>
          <w:sz w:val="22"/>
          <w:szCs w:val="22"/>
        </w:rPr>
        <w:t xml:space="preserve">Audit all interactive elements and enforce 44×44 px minimum touch target size with 8 px minimum spacing.</w:t>
      </w:r>
    </w:p>
    <w:p>
      <w:pPr>
        <w:pStyle w:val="ListParagraph"/>
        <w:numPr>
          <w:ilvl w:val="0"/>
          <w:numId w:val="2"/>
        </w:numPr>
        <w:spacing w:after="40" w:before="40"/>
      </w:pPr>
      <w:r>
        <w:rPr>
          <w:rFonts w:ascii="Arial" w:cs="Arial" w:eastAsia="Arial" w:hAnsi="Arial"/>
          <w:color w:val="2F2F2F"/>
          <w:sz w:val="22"/>
          <w:szCs w:val="22"/>
        </w:rPr>
        <w:t xml:space="preserve">Increase body and button text size from 13 px to 15 px for improved readability across age groups.</w:t>
      </w:r>
    </w:p>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Sprint 3 — Iterate and validate (Weeks 5–6)</w:t>
      </w:r>
    </w:p>
    <w:p>
      <w:pPr>
        <w:pStyle w:val="ListParagraph"/>
        <w:numPr>
          <w:ilvl w:val="0"/>
          <w:numId w:val="2"/>
        </w:numPr>
        <w:spacing w:after="40" w:before="40"/>
      </w:pPr>
      <w:r>
        <w:rPr>
          <w:rFonts w:ascii="Arial" w:cs="Arial" w:eastAsia="Arial" w:hAnsi="Arial"/>
          <w:color w:val="2F2F2F"/>
          <w:sz w:val="22"/>
          <w:szCs w:val="22"/>
        </w:rPr>
        <w:t xml:space="preserve">Conduct a card sort with 10–15 participants to validate the revised information architecture before the nav bar is built.</w:t>
      </w:r>
    </w:p>
    <w:p>
      <w:pPr>
        <w:pStyle w:val="ListParagraph"/>
        <w:numPr>
          <w:ilvl w:val="0"/>
          <w:numId w:val="2"/>
        </w:numPr>
        <w:spacing w:after="40" w:before="40"/>
      </w:pPr>
      <w:r>
        <w:rPr>
          <w:rFonts w:ascii="Arial" w:cs="Arial" w:eastAsia="Arial" w:hAnsi="Arial"/>
          <w:color w:val="2F2F2F"/>
          <w:sz w:val="22"/>
          <w:szCs w:val="22"/>
        </w:rPr>
        <w:t xml:space="preserve">Run a second round of usability testing with 5 new participants to validate that Sprint 1 changes resolve the critical findings.</w:t>
      </w:r>
    </w:p>
    <w:p>
      <w:pPr>
        <w:pStyle w:val="ListParagraph"/>
        <w:numPr>
          <w:ilvl w:val="0"/>
          <w:numId w:val="2"/>
        </w:numPr>
        <w:spacing w:after="40" w:before="40"/>
      </w:pPr>
      <w:r>
        <w:rPr>
          <w:rFonts w:ascii="Arial" w:cs="Arial" w:eastAsia="Arial" w:hAnsi="Arial"/>
          <w:color w:val="2F2F2F"/>
          <w:sz w:val="22"/>
          <w:szCs w:val="22"/>
        </w:rPr>
        <w:t xml:space="preserve">Set SUS ≥ 72 and task completion ≥ 80% as success benchmarks for the next testing round.</w:t>
      </w:r>
    </w:p>
    <w:p>
      <w:pPr>
        <w:pStyle w:val="ListParagraph"/>
        <w:numPr>
          <w:ilvl w:val="0"/>
          <w:numId w:val="2"/>
        </w:numPr>
        <w:spacing w:after="40" w:before="40"/>
      </w:pPr>
      <w:r>
        <w:rPr>
          <w:rFonts w:ascii="Arial" w:cs="Arial" w:eastAsia="Arial" w:hAnsi="Arial"/>
          <w:color w:val="2F2F2F"/>
          <w:sz w:val="22"/>
          <w:szCs w:val="22"/>
        </w:rPr>
        <w:t xml:space="preserve">Establish a UX metrics dashboard to track SUS, NPS, and completion rates after public release.</w:t>
      </w:r>
    </w:p>
    <w:p>
      <w:pPr>
        <w:spacing w:after="0" w:before="0"/>
      </w:pPr>
      <w:r>
        <w:rPr>
          <w:sz w:val="12"/>
          <w:szCs w:val="12"/>
        </w:rP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Iteration Roadmap</w:t>
      </w:r>
    </w:p>
    <w:p>
      <w:pPr>
        <w:spacing w:after="80" w:before="60"/>
      </w:pPr>
      <w:r>
        <w:rPr>
          <w:rFonts w:ascii="Arial" w:cs="Arial" w:eastAsia="Arial" w:hAnsi="Arial"/>
          <w:color w:val="2F2F2F"/>
          <w:sz w:val="22"/>
          <w:szCs w:val="22"/>
        </w:rPr>
        <w:t xml:space="preserve">The table below summarises the recommended sprint plan. Estimated timelines assume a two-engineer, one-designer pod with dedicated UX research support.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Sprint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Deliverables</w:t>
            </w:r>
          </w:p>
        </w:tc>
      </w:tr>
      <w:tr>
        <w:tc>
          <w:tcPr>
            <w:tcW w:type="dxa" w:w="144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80"/>
            </w:tcMar>
            <w:vAlign w:val="center"/>
          </w:tcPr>
          <w:p>
            <w:pPr>
              <w:jc w:val="center"/>
            </w:pPr>
            <w:r>
              <w:rPr>
                <w:rFonts w:ascii="Arial" w:cs="Arial" w:eastAsia="Arial" w:hAnsi="Arial"/>
                <w:b/>
                <w:bCs/>
                <w:color w:val="833C00"/>
                <w:sz w:val="20"/>
                <w:szCs w:val="20"/>
              </w:rPr>
              <w:t xml:space="preserve">Sprint 1
Weeks 1–2</w:t>
            </w:r>
          </w:p>
        </w:tc>
        <w:tc>
          <w:tcPr>
            <w:tcW w:type="dxa" w:w="7920"/>
            <w:tcBorders>
              <w:top w:val="single" w:color="BFBFBF" w:sz="1"/>
              <w:left w:val="single" w:color="BFBFBF" w:sz="1"/>
              <w:bottom w:val="single" w:color="BFBFBF" w:sz="1"/>
              <w:right w:val="single" w:color="BFBFBF" w:sz="1"/>
            </w:tcBorders>
            <w:tcMar>
              <w:top w:type="dxa" w:w="80"/>
              <w:left w:type="dxa" w:w="120"/>
              <w:bottom w:type="dxa" w:w="80"/>
              <w:right w:type="dxa" w:w="80"/>
            </w:tcMar>
          </w:tcPr>
          <w:p>
            <w:pPr>
              <w:spacing w:after="20" w:before="20"/>
            </w:pPr>
            <w:r>
              <w:rPr>
                <w:rFonts w:ascii="Arial" w:cs="Arial" w:eastAsia="Arial" w:hAnsi="Arial"/>
                <w:color w:val="2F2F2F"/>
                <w:sz w:val="20"/>
                <w:szCs w:val="20"/>
              </w:rPr>
              <w:t xml:space="preserve">•  Bottom navigation bar with Transfer tab (design + build)</w:t>
            </w:r>
          </w:p>
          <w:p>
            <w:pPr>
              <w:spacing w:after="20" w:before="20"/>
            </w:pPr>
            <w:r>
              <w:rPr>
                <w:rFonts w:ascii="Arial" w:cs="Arial" w:eastAsia="Arial" w:hAnsi="Arial"/>
                <w:color w:val="2F2F2F"/>
                <w:sz w:val="20"/>
                <w:szCs w:val="20"/>
              </w:rPr>
              <w:t xml:space="preserve">•  Transfer FAB on home screen</w:t>
            </w:r>
          </w:p>
          <w:p>
            <w:pPr>
              <w:spacing w:after="20" w:before="20"/>
            </w:pPr>
            <w:r>
              <w:rPr>
                <w:rFonts w:ascii="Arial" w:cs="Arial" w:eastAsia="Arial" w:hAnsi="Arial"/>
                <w:color w:val="2F2F2F"/>
                <w:sz w:val="20"/>
                <w:szCs w:val="20"/>
              </w:rPr>
              <w:t xml:space="preserve">•  Full error message rewrite (content update)</w:t>
            </w:r>
          </w:p>
          <w:p>
            <w:pPr>
              <w:spacing w:after="20" w:before="20"/>
            </w:pPr>
            <w:r>
              <w:rPr>
                <w:rFonts w:ascii="Arial" w:cs="Arial" w:eastAsia="Arial" w:hAnsi="Arial"/>
                <w:color w:val="2F2F2F"/>
                <w:sz w:val="20"/>
                <w:szCs w:val="20"/>
              </w:rPr>
              <w:t xml:space="preserve">•  Inline field validation on transfer form</w:t>
            </w:r>
          </w:p>
        </w:tc>
      </w:tr>
      <w:tr>
        <w:tc>
          <w:tcPr>
            <w:tcW w:type="dxa" w:w="1440"/>
            <w:tcBorders>
              <w:top w:val="single" w:color="BFBFBF" w:sz="1"/>
              <w:left w:val="single" w:color="BFBFBF" w:sz="1"/>
              <w:bottom w:val="single" w:color="BFBFBF" w:sz="1"/>
              <w:right w:val="single" w:color="BFBFBF" w:sz="1"/>
            </w:tcBorders>
            <w:shd w:fill="FFEB9C" w:val="clear"/>
            <w:tcMar>
              <w:top w:type="dxa" w:w="100"/>
              <w:left w:type="dxa" w:w="120"/>
              <w:bottom w:type="dxa" w:w="100"/>
              <w:right w:type="dxa" w:w="80"/>
            </w:tcMar>
            <w:vAlign w:val="center"/>
          </w:tcPr>
          <w:p>
            <w:pPr>
              <w:jc w:val="center"/>
            </w:pPr>
            <w:r>
              <w:rPr>
                <w:rFonts w:ascii="Arial" w:cs="Arial" w:eastAsia="Arial" w:hAnsi="Arial"/>
                <w:b/>
                <w:bCs/>
                <w:color w:val="7F6000"/>
                <w:sz w:val="20"/>
                <w:szCs w:val="20"/>
              </w:rPr>
              <w:t xml:space="preserve">Sprint 2
Weeks 3–4</w:t>
            </w:r>
          </w:p>
        </w:tc>
        <w:tc>
          <w:tcPr>
            <w:tcW w:type="dxa" w:w="7920"/>
            <w:tcBorders>
              <w:top w:val="single" w:color="BFBFBF" w:sz="1"/>
              <w:left w:val="single" w:color="BFBFBF" w:sz="1"/>
              <w:bottom w:val="single" w:color="BFBFBF" w:sz="1"/>
              <w:right w:val="single" w:color="BFBFBF" w:sz="1"/>
            </w:tcBorders>
            <w:tcMar>
              <w:top w:type="dxa" w:w="80"/>
              <w:left w:type="dxa" w:w="120"/>
              <w:bottom w:type="dxa" w:w="80"/>
              <w:right w:type="dxa" w:w="80"/>
            </w:tcMar>
          </w:tcPr>
          <w:p>
            <w:pPr>
              <w:spacing w:after="20" w:before="20"/>
            </w:pPr>
            <w:r>
              <w:rPr>
                <w:rFonts w:ascii="Arial" w:cs="Arial" w:eastAsia="Arial" w:hAnsi="Arial"/>
                <w:color w:val="2F2F2F"/>
                <w:sz w:val="20"/>
                <w:szCs w:val="20"/>
              </w:rPr>
              <w:t xml:space="preserve">•  Skeleton loading states for transaction history</w:t>
            </w:r>
          </w:p>
          <w:p>
            <w:pPr>
              <w:spacing w:after="20" w:before="20"/>
            </w:pPr>
            <w:r>
              <w:rPr>
                <w:rFonts w:ascii="Arial" w:cs="Arial" w:eastAsia="Arial" w:hAnsi="Arial"/>
                <w:color w:val="2F2F2F"/>
                <w:sz w:val="20"/>
                <w:szCs w:val="20"/>
              </w:rPr>
              <w:t xml:space="preserve">•  Transaction history pagination (20 items + Load more)</w:t>
            </w:r>
          </w:p>
          <w:p>
            <w:pPr>
              <w:spacing w:after="20" w:before="20"/>
            </w:pPr>
            <w:r>
              <w:rPr>
                <w:rFonts w:ascii="Arial" w:cs="Arial" w:eastAsia="Arial" w:hAnsi="Arial"/>
                <w:color w:val="2F2F2F"/>
                <w:sz w:val="20"/>
                <w:szCs w:val="20"/>
              </w:rPr>
              <w:t xml:space="preserve">•  API performance profiling and optimisation</w:t>
            </w:r>
          </w:p>
          <w:p>
            <w:pPr>
              <w:spacing w:after="20" w:before="20"/>
            </w:pPr>
            <w:r>
              <w:rPr>
                <w:rFonts w:ascii="Arial" w:cs="Arial" w:eastAsia="Arial" w:hAnsi="Arial"/>
                <w:color w:val="2F2F2F"/>
                <w:sz w:val="20"/>
                <w:szCs w:val="20"/>
              </w:rPr>
              <w:t xml:space="preserve">•  Touch target audit and remediation across all screens</w:t>
            </w:r>
          </w:p>
        </w:tc>
      </w:tr>
      <w:tr>
        <w:tc>
          <w:tcPr>
            <w:tcW w:type="dxa" w:w="144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80"/>
            </w:tcMar>
            <w:vAlign w:val="center"/>
          </w:tcPr>
          <w:p>
            <w:pPr>
              <w:jc w:val="center"/>
            </w:pPr>
            <w:r>
              <w:rPr>
                <w:rFonts w:ascii="Arial" w:cs="Arial" w:eastAsia="Arial" w:hAnsi="Arial"/>
                <w:b/>
                <w:bCs/>
                <w:color w:val="375623"/>
                <w:sz w:val="20"/>
                <w:szCs w:val="20"/>
              </w:rPr>
              <w:t xml:space="preserve">Sprint 3
Weeks 5–6</w:t>
            </w:r>
          </w:p>
        </w:tc>
        <w:tc>
          <w:tcPr>
            <w:tcW w:type="dxa" w:w="7920"/>
            <w:tcBorders>
              <w:top w:val="single" w:color="BFBFBF" w:sz="1"/>
              <w:left w:val="single" w:color="BFBFBF" w:sz="1"/>
              <w:bottom w:val="single" w:color="BFBFBF" w:sz="1"/>
              <w:right w:val="single" w:color="BFBFBF" w:sz="1"/>
            </w:tcBorders>
            <w:tcMar>
              <w:top w:type="dxa" w:w="80"/>
              <w:left w:type="dxa" w:w="120"/>
              <w:bottom w:type="dxa" w:w="80"/>
              <w:right w:type="dxa" w:w="80"/>
            </w:tcMar>
          </w:tcPr>
          <w:p>
            <w:pPr>
              <w:spacing w:after="20" w:before="20"/>
            </w:pPr>
            <w:r>
              <w:rPr>
                <w:rFonts w:ascii="Arial" w:cs="Arial" w:eastAsia="Arial" w:hAnsi="Arial"/>
                <w:color w:val="2F2F2F"/>
                <w:sz w:val="20"/>
                <w:szCs w:val="20"/>
              </w:rPr>
              <w:t xml:space="preserve">•  Card sort study to validate revised IA</w:t>
            </w:r>
          </w:p>
          <w:p>
            <w:pPr>
              <w:spacing w:after="20" w:before="20"/>
            </w:pPr>
            <w:r>
              <w:rPr>
                <w:rFonts w:ascii="Arial" w:cs="Arial" w:eastAsia="Arial" w:hAnsi="Arial"/>
                <w:color w:val="2F2F2F"/>
                <w:sz w:val="20"/>
                <w:szCs w:val="20"/>
              </w:rPr>
              <w:t xml:space="preserve">•  Repeat usability test (5 participants, new cohort)</w:t>
            </w:r>
          </w:p>
          <w:p>
            <w:pPr>
              <w:spacing w:after="20" w:before="20"/>
            </w:pPr>
            <w:r>
              <w:rPr>
                <w:rFonts w:ascii="Arial" w:cs="Arial" w:eastAsia="Arial" w:hAnsi="Arial"/>
                <w:color w:val="2F2F2F"/>
                <w:sz w:val="20"/>
                <w:szCs w:val="20"/>
              </w:rPr>
              <w:t xml:space="preserve">•  Stakeholder readout with updated SUS and NPS metrics</w:t>
            </w:r>
          </w:p>
          <w:p>
            <w:pPr>
              <w:spacing w:after="20" w:before="20"/>
            </w:pPr>
            <w:r>
              <w:rPr>
                <w:rFonts w:ascii="Arial" w:cs="Arial" w:eastAsia="Arial" w:hAnsi="Arial"/>
                <w:color w:val="2F2F2F"/>
                <w:sz w:val="20"/>
                <w:szCs w:val="20"/>
              </w:rPr>
              <w:t xml:space="preserve">•  UX metrics dashboard setup for post-launch tracking</w:t>
            </w:r>
          </w:p>
        </w:tc>
      </w:tr>
    </w:tbl>
    <w:p>
      <w:pPr>
        <w:spacing w:after="0" w:before="0"/>
      </w:pPr>
      <w:r>
        <w:rPr>
          <w:sz w:val="12"/>
          <w:szCs w:val="12"/>
        </w:rPr>
        <w:t xml:space="preserve"/>
      </w:r>
    </w:p>
    <w:p>
      <w:pPr>
        <w:spacing w:after="0" w:before="0"/>
      </w:pPr>
      <w:r>
        <w:rPr>
          <w:sz w:val="12"/>
          <w:szCs w:val="12"/>
        </w:rP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Appendix</w:t>
      </w:r>
    </w:p>
    <w:p>
      <w:pPr>
        <w:pStyle w:val="Heading2"/>
        <w:spacing w:after="80" w:before="280"/>
      </w:pPr>
      <w:r>
        <w:rPr>
          <w:rFonts w:ascii="Arial" w:cs="Arial" w:eastAsia="Arial" w:hAnsi="Arial"/>
          <w:b/>
          <w:bCs/>
          <w:color w:val="1F3864"/>
          <w:sz w:val="26"/>
          <w:szCs w:val="26"/>
        </w:rPr>
        <w:t xml:space="preserve">A. SUS scoring reference</w:t>
      </w:r>
    </w:p>
    <w:p>
      <w:pPr>
        <w:spacing w:after="80" w:before="60"/>
      </w:pPr>
      <w:r>
        <w:rPr>
          <w:rFonts w:ascii="Arial" w:cs="Arial" w:eastAsia="Arial" w:hAnsi="Arial"/>
          <w:color w:val="2F2F2F"/>
          <w:sz w:val="22"/>
          <w:szCs w:val="22"/>
        </w:rPr>
        <w:t xml:space="preserve">The System Usability Scale (SUS) is a 10-item Likert scale questionnaire. Scores are calculated on a 0–100 scale and interpreted as follows: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Score range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Adjective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Percentile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b/>
                <w:bCs/>
                <w:color w:val="1F4E79"/>
                <w:sz w:val="20"/>
                <w:szCs w:val="20"/>
              </w:rPr>
              <w:t xml:space="preserve">&lt; 51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Not acceptable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595959"/>
                <w:sz w:val="20"/>
                <w:szCs w:val="20"/>
              </w:rPr>
              <w:t xml:space="preserve">&lt; 25th percentile</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b/>
                <w:bCs/>
                <w:color w:val="1F4E79"/>
                <w:sz w:val="20"/>
                <w:szCs w:val="20"/>
              </w:rPr>
              <w:t xml:space="preserve">51–67</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Poor / Marginal</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595959"/>
                <w:sz w:val="20"/>
                <w:szCs w:val="20"/>
              </w:rPr>
              <w:t xml:space="preserve">25th–39th percentile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b/>
                <w:bCs/>
                <w:color w:val="1F4E79"/>
                <w:sz w:val="20"/>
                <w:szCs w:val="20"/>
              </w:rPr>
              <w:t xml:space="preserve">68–80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Good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595959"/>
                <w:sz w:val="20"/>
                <w:szCs w:val="20"/>
              </w:rPr>
              <w:t xml:space="preserve">50th–74th percentile</w:t>
            </w:r>
          </w:p>
        </w:tc>
      </w:tr>
      <w:tr>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b/>
                <w:bCs/>
                <w:color w:val="1F4E79"/>
                <w:sz w:val="20"/>
                <w:szCs w:val="20"/>
              </w:rPr>
              <w:t xml:space="preserve">81–90</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2F2F2F"/>
                <w:sz w:val="20"/>
                <w:szCs w:val="20"/>
              </w:rPr>
              <w:t xml:space="preserve">Excellent</w:t>
            </w:r>
          </w:p>
        </w:tc>
        <w:tc>
          <w:tcPr>
            <w:tcBorders>
              <w:top w:val="single" w:color="BFBFBF" w:sz="1"/>
              <w:left w:val="single" w:color="BFBFBF" w:sz="1"/>
              <w:bottom w:val="single" w:color="BFBFBF" w:sz="1"/>
              <w:right w:val="single" w:color="BFBFBF" w:sz="1"/>
            </w:tcBorders>
            <w:shd w:fill="F2F2F2" w:val="clear"/>
            <w:tcMar>
              <w:top w:type="dxa" w:w="80"/>
              <w:left w:type="dxa" w:w="120"/>
              <w:bottom w:type="dxa" w:w="80"/>
              <w:right w:type="dxa" w:w="80"/>
            </w:tcMar>
          </w:tcPr>
          <w:p>
            <w:r>
              <w:rPr>
                <w:rFonts w:ascii="Arial" w:cs="Arial" w:eastAsia="Arial" w:hAnsi="Arial"/>
                <w:color w:val="595959"/>
                <w:sz w:val="20"/>
                <w:szCs w:val="20"/>
              </w:rPr>
              <w:t xml:space="preserve">75th–95th percentile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b/>
                <w:bCs/>
                <w:color w:val="1F4E79"/>
                <w:sz w:val="20"/>
                <w:szCs w:val="20"/>
              </w:rPr>
              <w:t xml:space="preserve">&gt; 90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2F2F2F"/>
                <w:sz w:val="20"/>
                <w:szCs w:val="20"/>
              </w:rPr>
              <w:t xml:space="preserve">Best imaginable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80"/>
            </w:tcMar>
          </w:tcPr>
          <w:p>
            <w:r>
              <w:rPr>
                <w:rFonts w:ascii="Arial" w:cs="Arial" w:eastAsia="Arial" w:hAnsi="Arial"/>
                <w:color w:val="595959"/>
                <w:sz w:val="20"/>
                <w:szCs w:val="20"/>
              </w:rPr>
              <w:t xml:space="preserve">&gt; 95th percentile</w:t>
            </w:r>
          </w:p>
        </w:tc>
      </w:tr>
    </w:tbl>
    <w:p>
      <w:pPr>
        <w:spacing w:after="0" w:before="0"/>
      </w:pPr>
      <w:r>
        <w:rPr>
          <w:sz w:val="12"/>
          <w:szCs w:val="12"/>
        </w:rPr>
        <w:t xml:space="preserve"/>
      </w:r>
    </w:p>
    <w:p>
      <w:pPr>
        <w:spacing w:after="80" w:before="60"/>
      </w:pPr>
      <w:r>
        <w:rPr>
          <w:rFonts w:ascii="Arial" w:cs="Arial" w:eastAsia="Arial" w:hAnsi="Arial"/>
          <w:color w:val="2F2F2F"/>
          <w:sz w:val="22"/>
          <w:szCs w:val="22"/>
        </w:rPr>
        <w:t xml:space="preserve">This study’s SUS score of 58 falls in the “Poor / Marginal” band, at approximately the 35th percentile. The target for the next testing round is ≥ 72, which would place the product in the “Good” category at or above the 50th percentile.</w:t>
      </w:r>
    </w:p>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B. Participant consent and data handling</w:t>
      </w:r>
    </w:p>
    <w:p>
      <w:pPr>
        <w:spacing w:after="80" w:before="60"/>
      </w:pPr>
      <w:r>
        <w:rPr>
          <w:rFonts w:ascii="Arial" w:cs="Arial" w:eastAsia="Arial" w:hAnsi="Arial"/>
          <w:color w:val="2F2F2F"/>
          <w:sz w:val="22"/>
          <w:szCs w:val="22"/>
        </w:rPr>
        <w:t xml:space="preserve">All participants signed an informed consent form prior to the session. Session recordings are stored on encrypted internal servers and will be deleted 90 days after the study close date. No personally identifiable information appears in this report. Participant names have been replaced with anonymised identifiers.</w:t>
      </w:r>
    </w:p>
    <w:p>
      <w:pPr>
        <w:spacing w:after="0" w:before="0"/>
      </w:pPr>
      <w:r>
        <w:rPr>
          <w:sz w:val="12"/>
          <w:szCs w:val="12"/>
        </w:rPr>
        <w:t xml:space="preserve"/>
      </w:r>
    </w:p>
    <w:p>
      <w:pPr>
        <w:pStyle w:val="Heading2"/>
        <w:spacing w:after="80" w:before="280"/>
      </w:pPr>
      <w:r>
        <w:rPr>
          <w:rFonts w:ascii="Arial" w:cs="Arial" w:eastAsia="Arial" w:hAnsi="Arial"/>
          <w:b/>
          <w:bCs/>
          <w:color w:val="1F3864"/>
          <w:sz w:val="26"/>
          <w:szCs w:val="26"/>
        </w:rPr>
        <w:t xml:space="preserve">C. Contact</w:t>
      </w:r>
    </w:p>
    <w:p>
      <w:pPr>
        <w:spacing w:after="80" w:before="60"/>
      </w:pPr>
      <w:r>
        <w:rPr>
          <w:rFonts w:ascii="Arial" w:cs="Arial" w:eastAsia="Arial" w:hAnsi="Arial"/>
          <w:color w:val="2F2F2F"/>
          <w:sz w:val="22"/>
          <w:szCs w:val="22"/>
        </w:rPr>
        <w:t xml:space="preserve">For questions about this report or to request raw session recordings, please contact the UX Research Team.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F" w:sz="2" w:space="4"/>
      </w:pBdr>
      <w:tabs>
        <w:tab w:val="right" w:pos="9026"/>
      </w:tabs>
      <w:spacing w:before="0"/>
    </w:pPr>
    <w:r>
      <w:rPr>
        <w:rFonts w:ascii="Arial" w:cs="Arial" w:eastAsia="Arial" w:hAnsi="Arial"/>
        <w:color w:val="595959"/>
        <w:sz w:val="16"/>
        <w:szCs w:val="16"/>
      </w:rPr>
      <w:t xml:space="preserve">UX Research Team · June 2026</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3EF" w:sz="2" w:space="4"/>
      </w:pBdr>
      <w:tabs>
        <w:tab w:val="right" w:pos="9026"/>
      </w:tabs>
      <w:spacing w:after="0"/>
    </w:pPr>
    <w:r>
      <w:rPr>
        <w:rFonts w:ascii="Arial" w:cs="Arial" w:eastAsia="Arial" w:hAnsi="Arial"/>
        <w:color w:val="1F4E79"/>
        <w:sz w:val="18"/>
        <w:szCs w:val="18"/>
      </w:rPr>
      <w:t xml:space="preserve">Usability Test Report — Mobile Banking App</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2026-06-21T03:06:42.394Z</dcterms:created>
  <dcterms:modified xsi:type="dcterms:W3CDTF">2026-06-21T03:06:42.394Z</dcterms:modified>
</cp:coreProperties>
</file>

<file path=docProps/custom.xml><?xml version="1.0" encoding="utf-8"?>
<Properties xmlns="http://schemas.openxmlformats.org/officeDocument/2006/custom-properties" xmlns:vt="http://schemas.openxmlformats.org/officeDocument/2006/docPropsVTypes"/>
</file>