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30"/>
          <w:szCs w:val="30"/>
        </w:rPr>
        <w:t xml:space="preserve">红太阳数控设备有限公司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1F1F1F"/>
          <w:sz w:val="28"/>
          <w:szCs w:val="28"/>
        </w:rPr>
        <w:t xml:space="preserve">铝合金薄壁件螺丝装配扭矩标准</w:t>
      </w:r>
    </w:p>
    <w:p>
      <w:pPr>
        <w:spacing w:after="20" w:before="20"/>
        <w:jc w:val="center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适用范围：铝合金薄壁件、小型结构件、设备装配连接    单位：N·m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标准扭矩表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材质/等级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C00000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M8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304不锈钢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1.0~1.4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2.5~3.5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5.0~6.0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10.9级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12.9级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1.5~2.0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4.0~5.0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8.0~10.0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10~12</w:t>
            </w:r>
          </w:p>
        </w:tc>
        <w:tc>
          <w:tcPr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1F1F"/>
                <w:sz w:val="17"/>
                <w:szCs w:val="17"/>
              </w:rPr>
              <w:t xml:space="preserve">20~24</w:t>
            </w:r>
          </w:p>
        </w:tc>
      </w:tr>
    </w:tbl>
    <w:p>
      <w:pPr>
        <w:spacing w:after="20" w:before="20"/>
        <w:jc w:val="left"/>
      </w:pPr>
      <w:r>
        <w:rPr>
          <w:rFonts w:ascii="微软雅黑" w:cs="微软雅黑" w:eastAsia="微软雅黑" w:hAnsi="微软雅黑"/>
          <w:b/>
          <w:bCs/>
          <w:sz w:val="18"/>
          <w:szCs w:val="18"/>
        </w:rPr>
        <w:t xml:space="preserve">修正规则：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上油 / 螺纹胶：扭矩 × 0.90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多次拆装：扭矩 × 0.90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超薄壁 / 啮合长度不足：扭矩 × 0.70~0.80</w:t>
      </w:r>
    </w:p>
    <w:p>
      <w:pPr>
        <w:spacing w:after="20" w:before="20"/>
        <w:jc w:val="left"/>
      </w:pPr>
      <w:r>
        <w:rPr>
          <w:rFonts w:ascii="微软雅黑" w:cs="微软雅黑" w:eastAsia="微软雅黑" w:hAnsi="微软雅黑"/>
          <w:b/>
          <w:bCs/>
          <w:sz w:val="18"/>
          <w:szCs w:val="18"/>
        </w:rPr>
        <w:t xml:space="preserve">装配要求：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达到目标扭矩后立即停止，禁止继续补拧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必须使用扭力扳手，禁止凭手感硬拧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出现滑丝、咬死、铝件变形，立即停止</w:t>
      </w:r>
    </w:p>
    <w:p>
      <w:pPr>
        <w:pStyle w:val="ListParagraph"/>
        <w:numPr>
          <w:ilvl w:val="0"/>
          <w:numId w:val="1"/>
        </w:numPr>
        <w:spacing w:after="10" w:before="10"/>
      </w:pPr>
      <w:r>
        <w:rPr>
          <w:rFonts w:ascii="微软雅黑" w:cs="微软雅黑" w:eastAsia="微软雅黑" w:hAnsi="微软雅黑"/>
          <w:sz w:val="18"/>
          <w:szCs w:val="18"/>
        </w:rPr>
        <w:t xml:space="preserve">未确认螺丝等级时，按低一级标准执行</w:t>
      </w:r>
    </w:p>
    <w:p>
      <w:pPr>
        <w:spacing w:after="20" w:before="20"/>
        <w:jc w:val="center"/>
      </w:pPr>
      <w:r>
        <w:rPr>
          <w:rFonts w:ascii="微软雅黑" w:cs="微软雅黑" w:eastAsia="微软雅黑" w:hAnsi="微软雅黑"/>
          <w:b w:val="false"/>
          <w:bCs w:val="false"/>
          <w:sz w:val="18"/>
          <w:szCs w:val="18"/>
        </w:rPr>
        <w:t xml:space="preserve">不适用：钢牙套、钢件内牙、关键安全件、高振动连接。</w:t>
      </w:r>
    </w:p>
    <w:p>
      <w:pPr>
        <w:spacing w:after="20" w:before="20"/>
        <w:jc w:val="center"/>
      </w:pPr>
      <w:r>
        <w:rPr>
          <w:rFonts w:ascii="微软雅黑" w:cs="微软雅黑" w:eastAsia="微软雅黑" w:hAnsi="微软雅黑"/>
          <w:b/>
          <w:bCs/>
          <w:sz w:val="18"/>
          <w:szCs w:val="18"/>
        </w:rPr>
        <w:t xml:space="preserve">生产部张贴版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2026-04-08T02:59:34.848Z</dcterms:created>
  <dcterms:modified xsi:type="dcterms:W3CDTF">2026-04-08T02:59:34.852Z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