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30"/>
          <w:szCs w:val="30"/>
        </w:rPr>
        <w:t xml:space="preserve">红太阳数控设备有限公司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1F1F1F"/>
          <w:sz w:val="24"/>
          <w:szCs w:val="24"/>
        </w:rPr>
        <w:t xml:space="preserve">铝合金薄壁件螺丝装配扭矩标准（横向紧凑版）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sz w:val="18"/>
          <w:szCs w:val="18"/>
        </w:rPr>
        <w:t xml:space="preserve">版本：v2.0｜日期：2026年4月8日｜适用：铝合金薄壁件、小型结构件、设备装配连接｜单位：N·m</w:t>
      </w:r>
    </w:p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一、标准扭矩表（推荐日常使用值）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材质/等级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304不锈钢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1.0~1.4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2.5~3.5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5.0~6.0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10.9级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12.9级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1.5~2.0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8.0~10.0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10~12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20~24</w:t>
            </w:r>
          </w:p>
        </w:tc>
      </w:tr>
    </w:tbl>
    <w:p>
      <w:pPr>
        <w:spacing w:after="40" w:before="40"/>
        <w:jc w:val="left"/>
      </w:pPr>
      <w:r>
        <w:rPr>
          <w:rFonts w:ascii="微软雅黑" w:cs="微软雅黑" w:eastAsia="微软雅黑" w:hAnsi="微软雅黑"/>
          <w:sz w:val="18"/>
          <w:szCs w:val="18"/>
        </w:rPr>
        <w:t xml:space="preserve">说明：上表为推荐使用范围，不是极限值；“—”表示该组合不在本标准覆盖范围内，需单独评估。</w:t>
      </w:r>
    </w:p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二、修正规则（直接按系数算）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修正系数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执行说明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上油 / 螺纹胶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多次拆装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超薄壁 / 啮合长度不足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×0.70~0.80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在标准值基础上下调20%~30%</w:t>
            </w:r>
          </w:p>
        </w:tc>
      </w:tr>
    </w:tbl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三、现场执行规则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微软雅黑" w:cs="微软雅黑" w:eastAsia="微软雅黑" w:hAnsi="微软雅黑"/>
          <w:sz w:val="18"/>
          <w:szCs w:val="18"/>
        </w:rPr>
        <w:t xml:space="preserve">达到目标扭矩后立即停止，禁止再补拧 1/4 圈。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微软雅黑" w:cs="微软雅黑" w:eastAsia="微软雅黑" w:hAnsi="微软雅黑"/>
          <w:sz w:val="18"/>
          <w:szCs w:val="18"/>
        </w:rPr>
        <w:t xml:space="preserve">必须使用扭力扳手，禁止凭手感硬拧。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微软雅黑" w:cs="微软雅黑" w:eastAsia="微软雅黑" w:hAnsi="微软雅黑"/>
          <w:sz w:val="18"/>
          <w:szCs w:val="18"/>
        </w:rPr>
        <w:t xml:space="preserve">禁止把最大值当成日常装配标准。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微软雅黑" w:cs="微软雅黑" w:eastAsia="微软雅黑" w:hAnsi="微软雅黑"/>
          <w:sz w:val="18"/>
          <w:szCs w:val="18"/>
        </w:rPr>
        <w:t xml:space="preserve">出现滑丝、咬死、螺纹拉伤、铝件变形，立即停止。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微软雅黑" w:cs="微软雅黑" w:eastAsia="微软雅黑" w:hAnsi="微软雅黑"/>
          <w:sz w:val="18"/>
          <w:szCs w:val="18"/>
        </w:rPr>
        <w:t xml:space="preserve">不同材质、不同等级螺丝禁止混用同一扭矩。</w:t>
      </w:r>
    </w:p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四、快速示例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计算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建议执行值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M4 / 304 / 正常装配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直接按标准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3.0 N·m 左右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M5 / 12.9 / 涂螺纹胶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9.0 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8.1 N·m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M6 / 12.9 / 多次拆装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11 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9.9~10 N·m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M3 / 12.9 / 超薄壁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1.8 × 0.80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1.4~1.5 N·m</w:t>
            </w:r>
          </w:p>
        </w:tc>
      </w:tr>
    </w:tbl>
    <w:p>
      <w:pPr>
        <w:spacing w:after="40" w:before="40"/>
        <w:jc w:val="center"/>
      </w:pPr>
      <w:r>
        <w:rPr>
          <w:rFonts w:ascii="微软雅黑" w:cs="微软雅黑" w:eastAsia="微软雅黑" w:hAnsi="微软雅黑"/>
          <w:sz w:val="18"/>
          <w:szCs w:val="18"/>
        </w:rPr>
        <w:t xml:space="preserve">不适用范围：钢牙套/钢件内牙、关键安全件、高振动连接、法兰大头螺栓、大面积密封压紧结构。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sz w:val="18"/>
          <w:szCs w:val="18"/>
        </w:rPr>
        <w:t xml:space="preserve">济南红太阳数控设备有限公司 · 生产部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2026-04-08T00:50:47.564Z</dcterms:created>
  <dcterms:modified xsi:type="dcterms:W3CDTF">2026-04-08T00:50:47.585Z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