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微软雅黑" w:cs="微软雅黑" w:eastAsia="微软雅黑" w:hAnsi="微软雅黑"/>
          <w:b/>
          <w:bCs/>
          <w:color w:val="C00000"/>
          <w:sz w:val="30"/>
          <w:szCs w:val="30"/>
        </w:rPr>
        <w:t xml:space="preserve">红太阳数控设备有限公司</w:t>
      </w:r>
    </w:p>
    <w:p>
      <w:pPr>
        <w:spacing w:after="100" w:before="0"/>
        <w:jc w:val="center"/>
      </w:pPr>
      <w:r>
        <w:rPr>
          <w:rFonts w:ascii="微软雅黑" w:cs="微软雅黑" w:eastAsia="微软雅黑" w:hAnsi="微软雅黑"/>
          <w:b/>
          <w:bCs/>
          <w:color w:val="1F1F1F"/>
          <w:sz w:val="24"/>
          <w:szCs w:val="24"/>
        </w:rPr>
        <w:t xml:space="preserve">铝合金薄壁件螺丝装配扭矩标准（优化版）</w:t>
      </w:r>
    </w:p>
    <w:p>
      <w:pPr>
        <w:spacing w:after="35" w:before="35"/>
        <w:jc w:val="center"/>
      </w:pPr>
      <w:r>
        <w:rPr>
          <w:rFonts w:ascii="微软雅黑" w:cs="微软雅黑" w:eastAsia="微软雅黑" w:hAnsi="微软雅黑"/>
          <w:b w:val="false"/>
          <w:bCs w:val="false"/>
          <w:sz w:val="18"/>
          <w:szCs w:val="18"/>
        </w:rPr>
        <w:t xml:space="preserve">版本：v3.0｜日期：2026年4月8日｜适用：铝合金薄壁件、小型结构件、设备装配连接｜单位：N·m</w:t>
      </w:r>
    </w:p>
    <w:p>
      <w:pPr>
        <w:spacing w:after="35" w:before="35"/>
        <w:jc w:val="center"/>
      </w:pPr>
      <w:r>
        <w:rPr>
          <w:rFonts w:ascii="微软雅黑" w:cs="微软雅黑" w:eastAsia="微软雅黑" w:hAnsi="微软雅黑"/>
          <w:b w:val="false"/>
          <w:bCs w:val="false"/>
          <w:sz w:val="18"/>
          <w:szCs w:val="18"/>
        </w:rPr>
        <w:t xml:space="preserve">编制原则：以现场经验表为底稿，结合市面通用强度等级扭矩规律校正，并按铝合金薄壁件风险保守修正。</w:t>
      </w:r>
    </w:p>
    <w:p>
      <w:pPr>
        <w:spacing w:after="100" w:before="22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一、铝合金薄壁件执行扭矩表（推荐日常执行值）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材质/等级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M5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M6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M8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304不锈钢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1.0~1.4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2.5~3.5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5.0~6.0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10.9级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4.0~5.0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12.9级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1.5~2.0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4.0~5.0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8.0~10.0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10~12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20~24</w:t>
            </w:r>
          </w:p>
        </w:tc>
      </w:tr>
    </w:tbl>
    <w:p>
      <w:pPr>
        <w:spacing w:after="35" w:before="35"/>
        <w:jc w:val="left"/>
      </w:pPr>
      <w:r>
        <w:rPr>
          <w:rFonts w:ascii="微软雅黑" w:cs="微软雅黑" w:eastAsia="微软雅黑" w:hAnsi="微软雅黑"/>
          <w:b w:val="false"/>
          <w:bCs w:val="false"/>
          <w:sz w:val="18"/>
          <w:szCs w:val="18"/>
        </w:rPr>
        <w:t xml:space="preserve">说明：以上为铝合金薄壁件推荐执行值，优先保证不滑丝、不拉牙、不变形，不以极限夹紧力为目标。</w:t>
      </w:r>
    </w:p>
    <w:p>
      <w:pPr>
        <w:spacing w:after="100" w:before="22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二、与市面通用标准相比的优化原则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sz w:val="18"/>
          <w:szCs w:val="18"/>
        </w:rPr>
        <w:t xml:space="preserve">304不锈钢按较低强度体系处理，明显低于 10.9 / 12.9，不混用高强度标准。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sz w:val="18"/>
          <w:szCs w:val="18"/>
        </w:rPr>
        <w:t xml:space="preserve">10.9 / 12.9 保留市面通用扭矩等级趋势，但不照搬钢件上限，针对铝件做保守修正。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sz w:val="18"/>
          <w:szCs w:val="18"/>
        </w:rPr>
        <w:t xml:space="preserve">删除“12.9级（白色）”这类非标准分类，统一按正式强度等级管理。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sz w:val="18"/>
          <w:szCs w:val="18"/>
        </w:rPr>
        <w:t xml:space="preserve">删除“预紧后再拧1/4圈”经验动作，现场执行改为“到值即停”。</w:t>
      </w:r>
    </w:p>
    <w:p>
      <w:pPr>
        <w:spacing w:after="100" w:before="22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三、扭矩修正规则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修正系数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执行说明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上油 / 螺纹胶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×0.90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在标准值基础上下调10%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多次拆装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×0.90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在标准值基础上下调10%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超薄壁 / 啮合长度不足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×0.70~0.80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在标准值基础上下调20%~30%</w:t>
            </w:r>
          </w:p>
        </w:tc>
      </w:tr>
    </w:tbl>
    <w:p>
      <w:pPr>
        <w:spacing w:after="100" w:before="22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四、现场执行硬规则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sz w:val="18"/>
          <w:szCs w:val="18"/>
        </w:rPr>
        <w:t xml:space="preserve">达到目标扭矩后立即停止，禁止再补拧角度。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sz w:val="18"/>
          <w:szCs w:val="18"/>
        </w:rPr>
        <w:t xml:space="preserve">必须使用经校准的扭力扳手，禁止凭手感装配。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sz w:val="18"/>
          <w:szCs w:val="18"/>
        </w:rPr>
        <w:t xml:space="preserve">未确认螺丝等级前，默认按低一级标准执行。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sz w:val="18"/>
          <w:szCs w:val="18"/>
        </w:rPr>
        <w:t xml:space="preserve">出现滑丝、咬死、螺纹拉伤、铝件变形时立即停工复判。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sz w:val="18"/>
          <w:szCs w:val="18"/>
        </w:rPr>
        <w:t xml:space="preserve">“—”表示本标准未覆盖，不得自行套用。</w:t>
      </w:r>
    </w:p>
    <w:p>
      <w:pPr>
        <w:spacing w:after="100" w:before="22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五、快速示例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计算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建议执行值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M4 / 304 / 正常装配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直接按标准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3.0 N·m 左右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M5 / 12.9 / 涂螺纹胶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9.0 × 0.90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8.1 N·m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M6 / 12.9 / 多次拆装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11 × 0.90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9.9~10 N·m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M3 / 12.9 / 超薄壁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1.8 × 0.80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6"/>
                <w:szCs w:val="16"/>
              </w:rPr>
              <w:t xml:space="preserve">1.4~1.5 N·m</w:t>
            </w:r>
          </w:p>
        </w:tc>
      </w:tr>
    </w:tbl>
    <w:p>
      <w:pPr>
        <w:spacing w:after="100" w:before="22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六、备注</w:t>
      </w:r>
    </w:p>
    <w:p>
      <w:pPr>
        <w:spacing w:after="35" w:before="35"/>
        <w:jc w:val="left"/>
      </w:pPr>
      <w:r>
        <w:rPr>
          <w:rFonts w:ascii="微软雅黑" w:cs="微软雅黑" w:eastAsia="微软雅黑" w:hAnsi="微软雅黑"/>
          <w:b w:val="false"/>
          <w:bCs w:val="false"/>
          <w:sz w:val="18"/>
          <w:szCs w:val="18"/>
        </w:rPr>
        <w:t xml:space="preserve">本标准适用于铝合金薄壁件的一般装配管理，不适用于钢牙套、钢件内牙、关键安全件、高振动连接、大面积密封压紧结构。以上场景需单独评估。</w:t>
      </w:r>
    </w:p>
    <w:p>
      <w:pPr>
        <w:spacing w:after="35" w:before="35"/>
        <w:jc w:val="center"/>
      </w:pPr>
      <w:r>
        <w:rPr>
          <w:rFonts w:ascii="微软雅黑" w:cs="微软雅黑" w:eastAsia="微软雅黑" w:hAnsi="微软雅黑"/>
          <w:b w:val="false"/>
          <w:bCs w:val="false"/>
          <w:sz w:val="18"/>
          <w:szCs w:val="18"/>
        </w:rPr>
        <w:t xml:space="preserve">济南红太阳数控设备有限公司 · 生产部</w:t>
      </w:r>
    </w:p>
    <w:sectPr>
      <w:pgSz w:w="16838" w:h="11906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2026-04-08T02:55:58.319Z</dcterms:created>
  <dcterms:modified xsi:type="dcterms:W3CDTF">2026-04-08T02:55:58.321Z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