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AE6B7">
      <w:pPr>
        <w:pStyle w:val="31"/>
        <w:spacing w:after="200"/>
      </w:pPr>
      <w:r>
        <w:rPr>
          <w:rFonts w:ascii="微软雅黑" w:hAnsi="微软雅黑" w:eastAsia="微软雅黑"/>
          <w:b/>
          <w:sz w:val="44"/>
        </w:rPr>
        <w:t>图书多渠道商品中台</w:t>
      </w:r>
    </w:p>
    <w:p w14:paraId="0E3B230B">
      <w:pPr>
        <w:pStyle w:val="3"/>
      </w:pPr>
      <w:bookmarkStart w:id="0" w:name="_GoBack"/>
      <w:bookmarkEnd w:id="0"/>
      <w:r>
        <w:rPr>
          <w:rFonts w:ascii="微软雅黑" w:hAnsi="微软雅黑" w:eastAsia="微软雅黑"/>
          <w:b/>
          <w:sz w:val="32"/>
        </w:rPr>
        <w:t>1. 产品概述</w:t>
      </w:r>
    </w:p>
    <w:p w14:paraId="11CE32F5">
      <w:pPr>
        <w:spacing w:after="120" w:line="312" w:lineRule="auto"/>
      </w:pPr>
      <w:r>
        <w:rPr>
          <w:rFonts w:ascii="微软雅黑" w:hAnsi="微软雅黑" w:eastAsia="微软雅黑"/>
          <w:sz w:val="22"/>
        </w:rPr>
        <w:t>图书多渠道商品中台用于统一管理图书商品在电商渠道中的产品资料、渠道商品信息、库存视图和店铺规则。</w:t>
      </w:r>
    </w:p>
    <w:p w14:paraId="6805694A">
      <w:pPr>
        <w:spacing w:after="120" w:line="312" w:lineRule="auto"/>
      </w:pPr>
      <w:r>
        <w:rPr>
          <w:rFonts w:ascii="微软雅黑" w:hAnsi="微软雅黑" w:eastAsia="微软雅黑"/>
          <w:sz w:val="22"/>
        </w:rPr>
        <w:t>当前一期覆盖淘宝、拼多多、抖音、快手四渠道，优先完成“资料导入、产品建档、渠道商品编辑、库存协同、规则配置”的业务闭环，形成全渠道商品统一管理的基础能力。</w:t>
      </w:r>
    </w:p>
    <w:p w14:paraId="005A7C44">
      <w:pPr>
        <w:pStyle w:val="3"/>
      </w:pPr>
      <w:r>
        <w:rPr>
          <w:rFonts w:ascii="微软雅黑" w:hAnsi="微软雅黑" w:eastAsia="微软雅黑"/>
          <w:b/>
          <w:sz w:val="32"/>
        </w:rPr>
        <w:t>2. 适用客户与典型使用角色</w:t>
      </w:r>
    </w:p>
    <w:p w14:paraId="787F883E">
      <w:pPr>
        <w:spacing w:after="120" w:line="312" w:lineRule="auto"/>
      </w:pPr>
      <w:r>
        <w:rPr>
          <w:rFonts w:ascii="微软雅黑" w:hAnsi="微软雅黑" w:eastAsia="微软雅黑"/>
          <w:sz w:val="22"/>
        </w:rPr>
        <w:t>本系统适用于已经在电商渠道经营图书业务、且存在多店铺运营、多人协作、资料归集和库存协同需求的团队。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4"/>
        <w:gridCol w:w="3154"/>
        <w:gridCol w:w="3154"/>
      </w:tblGrid>
      <w:tr w14:paraId="6DB91AC5">
        <w:tc>
          <w:tcPr>
            <w:tcW w:w="3154" w:type="dxa"/>
          </w:tcPr>
          <w:p w14:paraId="7DE62100">
            <w:pPr>
              <w:spacing w:after="0" w:line="240" w:lineRule="auto"/>
            </w:pPr>
            <w:r>
              <w:rPr>
                <w:rFonts w:ascii="微软雅黑" w:hAnsi="微软雅黑" w:eastAsia="微软雅黑"/>
                <w:b/>
                <w:sz w:val="20"/>
              </w:rPr>
              <w:t>角色</w:t>
            </w:r>
          </w:p>
        </w:tc>
        <w:tc>
          <w:tcPr>
            <w:tcW w:w="3154" w:type="dxa"/>
          </w:tcPr>
          <w:p w14:paraId="70B1E1C0">
            <w:pPr>
              <w:spacing w:after="0" w:line="240" w:lineRule="auto"/>
            </w:pPr>
            <w:r>
              <w:rPr>
                <w:rFonts w:ascii="微软雅黑" w:hAnsi="微软雅黑" w:eastAsia="微软雅黑"/>
                <w:b/>
                <w:sz w:val="20"/>
              </w:rPr>
              <w:t>主要关注点</w:t>
            </w:r>
          </w:p>
        </w:tc>
        <w:tc>
          <w:tcPr>
            <w:tcW w:w="3154" w:type="dxa"/>
          </w:tcPr>
          <w:p w14:paraId="0CDE751F">
            <w:pPr>
              <w:spacing w:after="0" w:line="240" w:lineRule="auto"/>
            </w:pPr>
            <w:r>
              <w:rPr>
                <w:rFonts w:ascii="微软雅黑" w:hAnsi="微软雅黑" w:eastAsia="微软雅黑"/>
                <w:b/>
                <w:sz w:val="20"/>
              </w:rPr>
              <w:t>在系统中的主要工作</w:t>
            </w:r>
          </w:p>
        </w:tc>
      </w:tr>
      <w:tr w14:paraId="70EB740C">
        <w:tc>
          <w:tcPr>
            <w:tcW w:w="3154" w:type="dxa"/>
          </w:tcPr>
          <w:p w14:paraId="770BC814">
            <w:pPr>
              <w:spacing w:after="0" w:line="240" w:lineRule="auto"/>
            </w:pPr>
            <w:r>
              <w:rPr>
                <w:rFonts w:ascii="微软雅黑" w:hAnsi="微软雅黑" w:eastAsia="微软雅黑"/>
                <w:b w:val="0"/>
                <w:sz w:val="20"/>
              </w:rPr>
              <w:t>商品运营</w:t>
            </w:r>
          </w:p>
        </w:tc>
        <w:tc>
          <w:tcPr>
            <w:tcW w:w="3154" w:type="dxa"/>
          </w:tcPr>
          <w:p w14:paraId="74C5CFDA">
            <w:pPr>
              <w:spacing w:after="0" w:line="240" w:lineRule="auto"/>
            </w:pPr>
            <w:r>
              <w:rPr>
                <w:rFonts w:ascii="微软雅黑" w:hAnsi="微软雅黑" w:eastAsia="微软雅黑"/>
                <w:b w:val="0"/>
                <w:sz w:val="20"/>
              </w:rPr>
              <w:t>产品资料是否完整、导入是否准确</w:t>
            </w:r>
          </w:p>
        </w:tc>
        <w:tc>
          <w:tcPr>
            <w:tcW w:w="3154" w:type="dxa"/>
          </w:tcPr>
          <w:p w14:paraId="428A695C">
            <w:pPr>
              <w:spacing w:after="0" w:line="240" w:lineRule="auto"/>
            </w:pPr>
            <w:r>
              <w:rPr>
                <w:rFonts w:ascii="微软雅黑" w:hAnsi="微软雅黑" w:eastAsia="微软雅黑"/>
                <w:b w:val="0"/>
                <w:sz w:val="20"/>
              </w:rPr>
              <w:t>维护产品主档、导入产品和商品资料、查看导入结果</w:t>
            </w:r>
          </w:p>
        </w:tc>
      </w:tr>
      <w:tr w14:paraId="6848D3E7">
        <w:tc>
          <w:tcPr>
            <w:tcW w:w="3154" w:type="dxa"/>
          </w:tcPr>
          <w:p w14:paraId="35DD3F42">
            <w:pPr>
              <w:spacing w:after="0" w:line="240" w:lineRule="auto"/>
            </w:pPr>
            <w:r>
              <w:rPr>
                <w:rFonts w:ascii="微软雅黑" w:hAnsi="微软雅黑" w:eastAsia="微软雅黑"/>
                <w:b w:val="0"/>
                <w:sz w:val="20"/>
              </w:rPr>
              <w:t>渠道运营</w:t>
            </w:r>
          </w:p>
        </w:tc>
        <w:tc>
          <w:tcPr>
            <w:tcW w:w="3154" w:type="dxa"/>
          </w:tcPr>
          <w:p w14:paraId="44CE9769">
            <w:pPr>
              <w:spacing w:after="0" w:line="240" w:lineRule="auto"/>
            </w:pPr>
            <w:r>
              <w:rPr>
                <w:rFonts w:ascii="微软雅黑" w:hAnsi="微软雅黑" w:eastAsia="微软雅黑"/>
                <w:b w:val="0"/>
                <w:sz w:val="20"/>
              </w:rPr>
              <w:t>渠道商品信息是否准确可售</w:t>
            </w:r>
          </w:p>
        </w:tc>
        <w:tc>
          <w:tcPr>
            <w:tcW w:w="3154" w:type="dxa"/>
          </w:tcPr>
          <w:p w14:paraId="5F62511A">
            <w:pPr>
              <w:spacing w:after="0" w:line="240" w:lineRule="auto"/>
            </w:pPr>
            <w:r>
              <w:rPr>
                <w:rFonts w:ascii="微软雅黑" w:hAnsi="微软雅黑" w:eastAsia="微软雅黑"/>
                <w:b w:val="0"/>
                <w:sz w:val="20"/>
              </w:rPr>
              <w:t>编辑导入后的渠道商品标题、价格、属性、素材等差异信息</w:t>
            </w:r>
          </w:p>
        </w:tc>
      </w:tr>
      <w:tr w14:paraId="51DF8C1C">
        <w:tc>
          <w:tcPr>
            <w:tcW w:w="3154" w:type="dxa"/>
          </w:tcPr>
          <w:p w14:paraId="127BEC37">
            <w:pPr>
              <w:spacing w:after="0" w:line="240" w:lineRule="auto"/>
            </w:pPr>
            <w:r>
              <w:rPr>
                <w:rFonts w:ascii="微软雅黑" w:hAnsi="微软雅黑" w:eastAsia="微软雅黑"/>
                <w:b w:val="0"/>
                <w:sz w:val="20"/>
              </w:rPr>
              <w:t>库存运营</w:t>
            </w:r>
          </w:p>
        </w:tc>
        <w:tc>
          <w:tcPr>
            <w:tcW w:w="3154" w:type="dxa"/>
          </w:tcPr>
          <w:p w14:paraId="39C4C054">
            <w:pPr>
              <w:spacing w:after="0" w:line="240" w:lineRule="auto"/>
            </w:pPr>
            <w:r>
              <w:rPr>
                <w:rFonts w:ascii="微软雅黑" w:hAnsi="微软雅黑" w:eastAsia="微软雅黑"/>
                <w:b w:val="0"/>
                <w:sz w:val="20"/>
              </w:rPr>
              <w:t>库存视图是否准确、调整是否可追溯</w:t>
            </w:r>
          </w:p>
        </w:tc>
        <w:tc>
          <w:tcPr>
            <w:tcW w:w="3154" w:type="dxa"/>
          </w:tcPr>
          <w:p w14:paraId="4E96ECA6">
            <w:pPr>
              <w:spacing w:after="0" w:line="240" w:lineRule="auto"/>
            </w:pPr>
            <w:r>
              <w:rPr>
                <w:rFonts w:ascii="微软雅黑" w:hAnsi="微软雅黑" w:eastAsia="微软雅黑"/>
                <w:b w:val="0"/>
                <w:sz w:val="20"/>
              </w:rPr>
              <w:t>查看库存列表、发起快速调整、触发库存同步</w:t>
            </w:r>
          </w:p>
        </w:tc>
      </w:tr>
      <w:tr w14:paraId="6D775AB9">
        <w:tc>
          <w:tcPr>
            <w:tcW w:w="3154" w:type="dxa"/>
          </w:tcPr>
          <w:p w14:paraId="08F0F8B2">
            <w:pPr>
              <w:spacing w:after="0" w:line="240" w:lineRule="auto"/>
            </w:pPr>
            <w:r>
              <w:rPr>
                <w:rFonts w:ascii="微软雅黑" w:hAnsi="微软雅黑" w:eastAsia="微软雅黑"/>
                <w:b w:val="0"/>
                <w:sz w:val="20"/>
              </w:rPr>
              <w:t>系统管理员</w:t>
            </w:r>
          </w:p>
        </w:tc>
        <w:tc>
          <w:tcPr>
            <w:tcW w:w="3154" w:type="dxa"/>
          </w:tcPr>
          <w:p w14:paraId="6881D873">
            <w:pPr>
              <w:spacing w:after="0" w:line="240" w:lineRule="auto"/>
            </w:pPr>
            <w:r>
              <w:rPr>
                <w:rFonts w:ascii="微软雅黑" w:hAnsi="微软雅黑" w:eastAsia="微软雅黑"/>
                <w:b w:val="0"/>
                <w:sz w:val="20"/>
              </w:rPr>
              <w:t>店铺规则是否统一生效</w:t>
            </w:r>
          </w:p>
        </w:tc>
        <w:tc>
          <w:tcPr>
            <w:tcW w:w="3154" w:type="dxa"/>
          </w:tcPr>
          <w:p w14:paraId="3986DE70">
            <w:pPr>
              <w:spacing w:after="0" w:line="240" w:lineRule="auto"/>
            </w:pPr>
            <w:r>
              <w:rPr>
                <w:rFonts w:ascii="微软雅黑" w:hAnsi="微软雅黑" w:eastAsia="微软雅黑"/>
                <w:b w:val="0"/>
                <w:sz w:val="20"/>
              </w:rPr>
              <w:t>维护店铺级配置，为导入和商品编辑提供规则基础</w:t>
            </w:r>
          </w:p>
        </w:tc>
      </w:tr>
    </w:tbl>
    <w:p w14:paraId="09227CB7"/>
    <w:p w14:paraId="7741A84A">
      <w:pPr>
        <w:pStyle w:val="3"/>
      </w:pPr>
      <w:r>
        <w:rPr>
          <w:rFonts w:ascii="微软雅黑" w:hAnsi="微软雅黑" w:eastAsia="微软雅黑"/>
          <w:b/>
          <w:sz w:val="32"/>
        </w:rPr>
        <w:t>3. 主要业务痛点</w:t>
      </w:r>
    </w:p>
    <w:p w14:paraId="05E41193">
      <w:pPr>
        <w:pStyle w:val="4"/>
      </w:pPr>
      <w:r>
        <w:rPr>
          <w:rFonts w:ascii="微软雅黑" w:hAnsi="微软雅黑" w:eastAsia="微软雅黑"/>
          <w:b/>
          <w:sz w:val="28"/>
        </w:rPr>
        <w:t>3.1 资料分散</w:t>
      </w:r>
    </w:p>
    <w:p w14:paraId="3EB6F850">
      <w:pPr>
        <w:spacing w:after="120" w:line="312" w:lineRule="auto"/>
      </w:pPr>
      <w:r>
        <w:rPr>
          <w:rFonts w:ascii="微软雅黑" w:hAnsi="微软雅黑" w:eastAsia="微软雅黑"/>
          <w:sz w:val="22"/>
        </w:rPr>
        <w:t>产品资料、商品资料、素材资料往往分散在不同文件、不同店铺和不同人员手中，难以形成统一的产品主档。</w:t>
      </w:r>
    </w:p>
    <w:p w14:paraId="051070A9">
      <w:pPr>
        <w:pStyle w:val="4"/>
      </w:pPr>
      <w:r>
        <w:rPr>
          <w:rFonts w:ascii="微软雅黑" w:hAnsi="微软雅黑" w:eastAsia="微软雅黑"/>
          <w:b/>
          <w:sz w:val="28"/>
        </w:rPr>
        <w:t>3.2 商品维护重复</w:t>
      </w:r>
    </w:p>
    <w:p w14:paraId="7A37213C">
      <w:pPr>
        <w:spacing w:after="120" w:line="312" w:lineRule="auto"/>
      </w:pPr>
      <w:r>
        <w:rPr>
          <w:rFonts w:ascii="微软雅黑" w:hAnsi="微软雅黑" w:eastAsia="微软雅黑"/>
          <w:sz w:val="22"/>
        </w:rPr>
        <w:t>同一本书在不同店铺、不同商品链接下需要重复维护标题、价格、属性和素材，人工成本高，且容易出错。</w:t>
      </w:r>
    </w:p>
    <w:p w14:paraId="12D8EA85">
      <w:pPr>
        <w:pStyle w:val="4"/>
      </w:pPr>
      <w:r>
        <w:rPr>
          <w:rFonts w:ascii="微软雅黑" w:hAnsi="微软雅黑" w:eastAsia="微软雅黑"/>
          <w:b/>
          <w:sz w:val="28"/>
        </w:rPr>
        <w:t>3.3 规则依赖人工记忆</w:t>
      </w:r>
    </w:p>
    <w:p w14:paraId="549B8F49">
      <w:pPr>
        <w:spacing w:after="120" w:line="312" w:lineRule="auto"/>
      </w:pPr>
      <w:r>
        <w:rPr>
          <w:rFonts w:ascii="微软雅黑" w:hAnsi="微软雅黑" w:eastAsia="微软雅黑"/>
          <w:sz w:val="22"/>
        </w:rPr>
        <w:t>不同店铺的类目规则、默认配置、运费和时效要求经常靠经验维护，容易出现前后不一致。</w:t>
      </w:r>
    </w:p>
    <w:p w14:paraId="16EB6057">
      <w:pPr>
        <w:pStyle w:val="4"/>
      </w:pPr>
      <w:r>
        <w:rPr>
          <w:rFonts w:ascii="微软雅黑" w:hAnsi="微软雅黑" w:eastAsia="微软雅黑"/>
          <w:b/>
          <w:sz w:val="28"/>
        </w:rPr>
        <w:t>3.4 库存协同弱</w:t>
      </w:r>
    </w:p>
    <w:p w14:paraId="142AE3F2">
      <w:pPr>
        <w:spacing w:after="120" w:line="312" w:lineRule="auto"/>
      </w:pPr>
      <w:r>
        <w:rPr>
          <w:rFonts w:ascii="微软雅黑" w:hAnsi="微软雅黑" w:eastAsia="微软雅黑"/>
          <w:sz w:val="22"/>
        </w:rPr>
        <w:t>库存查看、调整和同步分散，结果回溯能力不足，运营协同效率低。</w:t>
      </w:r>
    </w:p>
    <w:p w14:paraId="55614A7A">
      <w:pPr>
        <w:pStyle w:val="4"/>
      </w:pPr>
      <w:r>
        <w:rPr>
          <w:rFonts w:ascii="微软雅黑" w:hAnsi="微软雅黑" w:eastAsia="微软雅黑"/>
          <w:b/>
          <w:sz w:val="28"/>
        </w:rPr>
        <w:t>3.5 导入处理不可追溯</w:t>
      </w:r>
    </w:p>
    <w:p w14:paraId="6D3F5B34">
      <w:pPr>
        <w:spacing w:after="120" w:line="312" w:lineRule="auto"/>
      </w:pPr>
      <w:r>
        <w:rPr>
          <w:rFonts w:ascii="微软雅黑" w:hAnsi="微软雅黑" w:eastAsia="微软雅黑"/>
          <w:sz w:val="22"/>
        </w:rPr>
        <w:t>导入失败、字段异常、关联结果不清晰时，排查成本高，难以快速定位问题。</w:t>
      </w:r>
    </w:p>
    <w:p w14:paraId="4327FAC6">
      <w:pPr>
        <w:pStyle w:val="3"/>
      </w:pPr>
      <w:r>
        <w:rPr>
          <w:rFonts w:ascii="微软雅黑" w:hAnsi="微软雅黑" w:eastAsia="微软雅黑"/>
          <w:b/>
          <w:sz w:val="32"/>
        </w:rPr>
        <w:t>4. 一期建设目标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1"/>
        <w:gridCol w:w="4731"/>
      </w:tblGrid>
      <w:tr w14:paraId="645ED9AF">
        <w:tc>
          <w:tcPr>
            <w:tcW w:w="4731" w:type="dxa"/>
          </w:tcPr>
          <w:p w14:paraId="5288BDA8">
            <w:pPr>
              <w:spacing w:after="0" w:line="240" w:lineRule="auto"/>
            </w:pPr>
            <w:r>
              <w:rPr>
                <w:rFonts w:ascii="微软雅黑" w:hAnsi="微软雅黑" w:eastAsia="微软雅黑"/>
                <w:b/>
                <w:sz w:val="20"/>
              </w:rPr>
              <w:t>建设目标</w:t>
            </w:r>
          </w:p>
        </w:tc>
        <w:tc>
          <w:tcPr>
            <w:tcW w:w="4731" w:type="dxa"/>
          </w:tcPr>
          <w:p w14:paraId="244F06EC">
            <w:pPr>
              <w:spacing w:after="0" w:line="240" w:lineRule="auto"/>
            </w:pPr>
            <w:r>
              <w:rPr>
                <w:rFonts w:ascii="微软雅黑" w:hAnsi="微软雅黑" w:eastAsia="微软雅黑"/>
                <w:b/>
                <w:sz w:val="20"/>
              </w:rPr>
              <w:t>对应解决方式</w:t>
            </w:r>
          </w:p>
        </w:tc>
      </w:tr>
      <w:tr w14:paraId="7136B8A3">
        <w:tc>
          <w:tcPr>
            <w:tcW w:w="4731" w:type="dxa"/>
          </w:tcPr>
          <w:p w14:paraId="7D5E3382">
            <w:pPr>
              <w:spacing w:after="0" w:line="240" w:lineRule="auto"/>
            </w:pPr>
            <w:r>
              <w:rPr>
                <w:rFonts w:ascii="微软雅黑" w:hAnsi="微软雅黑" w:eastAsia="微软雅黑"/>
                <w:b w:val="0"/>
                <w:sz w:val="20"/>
              </w:rPr>
              <w:t>建立统一产品主档</w:t>
            </w:r>
          </w:p>
        </w:tc>
        <w:tc>
          <w:tcPr>
            <w:tcW w:w="4731" w:type="dxa"/>
          </w:tcPr>
          <w:p w14:paraId="50DE808A">
            <w:pPr>
              <w:spacing w:after="0" w:line="240" w:lineRule="auto"/>
            </w:pPr>
            <w:r>
              <w:rPr>
                <w:rFonts w:ascii="微软雅黑" w:hAnsi="微软雅黑" w:eastAsia="微软雅黑"/>
                <w:b w:val="0"/>
                <w:sz w:val="20"/>
              </w:rPr>
              <w:t>通过产品管理承接产品、SKU、素材和渠道商品关联信息</w:t>
            </w:r>
          </w:p>
        </w:tc>
      </w:tr>
      <w:tr w14:paraId="5C4CD1F2">
        <w:tc>
          <w:tcPr>
            <w:tcW w:w="4731" w:type="dxa"/>
          </w:tcPr>
          <w:p w14:paraId="7932B0A9">
            <w:pPr>
              <w:spacing w:after="0" w:line="240" w:lineRule="auto"/>
            </w:pPr>
            <w:r>
              <w:rPr>
                <w:rFonts w:ascii="微软雅黑" w:hAnsi="微软雅黑" w:eastAsia="微软雅黑"/>
                <w:b w:val="0"/>
                <w:sz w:val="20"/>
              </w:rPr>
              <w:t>提升资料导入效率</w:t>
            </w:r>
          </w:p>
        </w:tc>
        <w:tc>
          <w:tcPr>
            <w:tcW w:w="4731" w:type="dxa"/>
          </w:tcPr>
          <w:p w14:paraId="77BE1719">
            <w:pPr>
              <w:spacing w:after="0" w:line="240" w:lineRule="auto"/>
            </w:pPr>
            <w:r>
              <w:rPr>
                <w:rFonts w:ascii="微软雅黑" w:hAnsi="微软雅黑" w:eastAsia="微软雅黑"/>
                <w:b w:val="0"/>
                <w:sz w:val="20"/>
              </w:rPr>
              <w:t>通过标准导入模板、导入校验和导入记录实现闭环</w:t>
            </w:r>
          </w:p>
        </w:tc>
      </w:tr>
      <w:tr w14:paraId="5B4B1EA6">
        <w:tc>
          <w:tcPr>
            <w:tcW w:w="4731" w:type="dxa"/>
          </w:tcPr>
          <w:p w14:paraId="0541ECA4">
            <w:pPr>
              <w:spacing w:after="0" w:line="240" w:lineRule="auto"/>
            </w:pPr>
            <w:r>
              <w:rPr>
                <w:rFonts w:ascii="微软雅黑" w:hAnsi="微软雅黑" w:eastAsia="微软雅黑"/>
                <w:b w:val="0"/>
                <w:sz w:val="20"/>
              </w:rPr>
              <w:t>降低渠道商品维护成本</w:t>
            </w:r>
          </w:p>
        </w:tc>
        <w:tc>
          <w:tcPr>
            <w:tcW w:w="4731" w:type="dxa"/>
          </w:tcPr>
          <w:p w14:paraId="01CB8459">
            <w:pPr>
              <w:spacing w:after="0" w:line="240" w:lineRule="auto"/>
            </w:pPr>
            <w:r>
              <w:rPr>
                <w:rFonts w:ascii="微软雅黑" w:hAnsi="微软雅黑" w:eastAsia="微软雅黑"/>
                <w:b w:val="0"/>
                <w:sz w:val="20"/>
              </w:rPr>
              <w:t>通过既有渠道商品编辑和店铺规则联动减少重复维护</w:t>
            </w:r>
          </w:p>
        </w:tc>
      </w:tr>
      <w:tr w14:paraId="72A26B1A">
        <w:tc>
          <w:tcPr>
            <w:tcW w:w="4731" w:type="dxa"/>
          </w:tcPr>
          <w:p w14:paraId="307CE458">
            <w:pPr>
              <w:spacing w:after="0" w:line="240" w:lineRule="auto"/>
            </w:pPr>
            <w:r>
              <w:rPr>
                <w:rFonts w:ascii="微软雅黑" w:hAnsi="微软雅黑" w:eastAsia="微软雅黑"/>
                <w:b w:val="0"/>
                <w:sz w:val="20"/>
              </w:rPr>
              <w:t>统一库存视图</w:t>
            </w:r>
          </w:p>
        </w:tc>
        <w:tc>
          <w:tcPr>
            <w:tcW w:w="4731" w:type="dxa"/>
          </w:tcPr>
          <w:p w14:paraId="6BDAE38C">
            <w:pPr>
              <w:spacing w:after="0" w:line="240" w:lineRule="auto"/>
            </w:pPr>
            <w:r>
              <w:rPr>
                <w:rFonts w:ascii="微软雅黑" w:hAnsi="微软雅黑" w:eastAsia="微软雅黑"/>
                <w:b w:val="0"/>
                <w:sz w:val="20"/>
              </w:rPr>
              <w:t>通过库存列表、快速调整和同步状态管理实现统一查看</w:t>
            </w:r>
          </w:p>
        </w:tc>
      </w:tr>
      <w:tr w14:paraId="03230939">
        <w:tc>
          <w:tcPr>
            <w:tcW w:w="4731" w:type="dxa"/>
          </w:tcPr>
          <w:p w14:paraId="03C503FA">
            <w:pPr>
              <w:spacing w:after="0" w:line="240" w:lineRule="auto"/>
            </w:pPr>
            <w:r>
              <w:rPr>
                <w:rFonts w:ascii="微软雅黑" w:hAnsi="微软雅黑" w:eastAsia="微软雅黑"/>
                <w:b w:val="0"/>
                <w:sz w:val="20"/>
              </w:rPr>
              <w:t>让规则配置可复用</w:t>
            </w:r>
          </w:p>
        </w:tc>
        <w:tc>
          <w:tcPr>
            <w:tcW w:w="4731" w:type="dxa"/>
          </w:tcPr>
          <w:p w14:paraId="679347BB">
            <w:pPr>
              <w:spacing w:after="0" w:line="240" w:lineRule="auto"/>
            </w:pPr>
            <w:r>
              <w:rPr>
                <w:rFonts w:ascii="微软雅黑" w:hAnsi="微软雅黑" w:eastAsia="微软雅黑"/>
                <w:b w:val="0"/>
                <w:sz w:val="20"/>
              </w:rPr>
              <w:t>通过店铺级配置反哺导入和商品编辑流程</w:t>
            </w:r>
          </w:p>
        </w:tc>
      </w:tr>
      <w:tr w14:paraId="22E2FF46">
        <w:tc>
          <w:tcPr>
            <w:tcW w:w="4731" w:type="dxa"/>
          </w:tcPr>
          <w:p w14:paraId="3B942A48">
            <w:pPr>
              <w:spacing w:after="0" w:line="240" w:lineRule="auto"/>
            </w:pPr>
            <w:r>
              <w:rPr>
                <w:rFonts w:ascii="微软雅黑" w:hAnsi="微软雅黑" w:eastAsia="微软雅黑"/>
                <w:b w:val="0"/>
                <w:sz w:val="20"/>
              </w:rPr>
              <w:t>为后续扩展打基础</w:t>
            </w:r>
          </w:p>
        </w:tc>
        <w:tc>
          <w:tcPr>
            <w:tcW w:w="4731" w:type="dxa"/>
          </w:tcPr>
          <w:p w14:paraId="59A4456A">
            <w:pPr>
              <w:spacing w:after="0" w:line="240" w:lineRule="auto"/>
            </w:pPr>
            <w:r>
              <w:rPr>
                <w:rFonts w:ascii="微软雅黑" w:hAnsi="微软雅黑" w:eastAsia="微软雅黑"/>
                <w:b w:val="0"/>
                <w:sz w:val="20"/>
              </w:rPr>
              <w:t>当前先完成四渠道导入和统一管理，为后续能力深化提供基础</w:t>
            </w:r>
          </w:p>
        </w:tc>
      </w:tr>
    </w:tbl>
    <w:p w14:paraId="543BE06A"/>
    <w:p w14:paraId="55AF3616">
      <w:pPr>
        <w:pStyle w:val="3"/>
      </w:pPr>
      <w:r>
        <w:rPr>
          <w:rFonts w:ascii="微软雅黑" w:hAnsi="微软雅黑" w:eastAsia="微软雅黑"/>
          <w:b/>
          <w:sz w:val="32"/>
        </w:rPr>
        <w:t>5. 一期建设范围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6F2FD0BB">
        <w:tc>
          <w:tcPr>
            <w:tcW w:w="2365" w:type="dxa"/>
          </w:tcPr>
          <w:p w14:paraId="364A8A3F">
            <w:pPr>
              <w:spacing w:after="0" w:line="240" w:lineRule="auto"/>
            </w:pPr>
            <w:r>
              <w:rPr>
                <w:rFonts w:ascii="微软雅黑" w:hAnsi="微软雅黑" w:eastAsia="微软雅黑"/>
                <w:b/>
                <w:sz w:val="20"/>
              </w:rPr>
              <w:t>模块</w:t>
            </w:r>
          </w:p>
        </w:tc>
        <w:tc>
          <w:tcPr>
            <w:tcW w:w="2365" w:type="dxa"/>
          </w:tcPr>
          <w:p w14:paraId="595FAB37">
            <w:pPr>
              <w:spacing w:after="0" w:line="240" w:lineRule="auto"/>
            </w:pPr>
            <w:r>
              <w:rPr>
                <w:rFonts w:ascii="微软雅黑" w:hAnsi="微软雅黑" w:eastAsia="微软雅黑"/>
                <w:b/>
                <w:sz w:val="20"/>
              </w:rPr>
              <w:t>一期定位</w:t>
            </w:r>
          </w:p>
        </w:tc>
        <w:tc>
          <w:tcPr>
            <w:tcW w:w="2365" w:type="dxa"/>
          </w:tcPr>
          <w:p w14:paraId="61DBEE27">
            <w:pPr>
              <w:spacing w:after="0" w:line="240" w:lineRule="auto"/>
            </w:pPr>
            <w:r>
              <w:rPr>
                <w:rFonts w:ascii="微软雅黑" w:hAnsi="微软雅黑" w:eastAsia="微软雅黑"/>
                <w:b/>
                <w:sz w:val="20"/>
              </w:rPr>
              <w:t>核心能力</w:t>
            </w:r>
          </w:p>
        </w:tc>
        <w:tc>
          <w:tcPr>
            <w:tcW w:w="2365" w:type="dxa"/>
          </w:tcPr>
          <w:p w14:paraId="5913CCFE">
            <w:pPr>
              <w:spacing w:after="0" w:line="240" w:lineRule="auto"/>
            </w:pPr>
            <w:r>
              <w:rPr>
                <w:rFonts w:ascii="微软雅黑" w:hAnsi="微软雅黑" w:eastAsia="微软雅黑"/>
                <w:b/>
                <w:sz w:val="20"/>
              </w:rPr>
              <w:t>当前状态</w:t>
            </w:r>
          </w:p>
        </w:tc>
      </w:tr>
      <w:tr w14:paraId="7F5C0E29">
        <w:tc>
          <w:tcPr>
            <w:tcW w:w="2365" w:type="dxa"/>
          </w:tcPr>
          <w:p w14:paraId="1F998458">
            <w:pPr>
              <w:spacing w:after="0" w:line="240" w:lineRule="auto"/>
            </w:pPr>
            <w:r>
              <w:rPr>
                <w:rFonts w:ascii="微软雅黑" w:hAnsi="微软雅黑" w:eastAsia="微软雅黑"/>
                <w:b w:val="0"/>
                <w:sz w:val="20"/>
              </w:rPr>
              <w:t>产品管理</w:t>
            </w:r>
          </w:p>
        </w:tc>
        <w:tc>
          <w:tcPr>
            <w:tcW w:w="2365" w:type="dxa"/>
          </w:tcPr>
          <w:p w14:paraId="0FF30906">
            <w:pPr>
              <w:spacing w:after="0" w:line="240" w:lineRule="auto"/>
            </w:pPr>
            <w:r>
              <w:rPr>
                <w:rFonts w:ascii="微软雅黑" w:hAnsi="微软雅黑" w:eastAsia="微软雅黑"/>
                <w:b w:val="0"/>
                <w:sz w:val="20"/>
              </w:rPr>
              <w:t>必做主模块</w:t>
            </w:r>
          </w:p>
        </w:tc>
        <w:tc>
          <w:tcPr>
            <w:tcW w:w="2365" w:type="dxa"/>
          </w:tcPr>
          <w:p w14:paraId="04C543FC">
            <w:pPr>
              <w:spacing w:after="0" w:line="240" w:lineRule="auto"/>
            </w:pPr>
            <w:r>
              <w:rPr>
                <w:rFonts w:ascii="微软雅黑" w:hAnsi="微软雅黑" w:eastAsia="微软雅黑"/>
                <w:b w:val="0"/>
                <w:sz w:val="20"/>
              </w:rPr>
              <w:t>产品列表、产品详情、产品导入、导入记录</w:t>
            </w:r>
          </w:p>
        </w:tc>
        <w:tc>
          <w:tcPr>
            <w:tcW w:w="2365" w:type="dxa"/>
          </w:tcPr>
          <w:p w14:paraId="403882BF">
            <w:pPr>
              <w:spacing w:after="0" w:line="240" w:lineRule="auto"/>
            </w:pPr>
            <w:r>
              <w:rPr>
                <w:rFonts w:ascii="微软雅黑" w:hAnsi="微软雅黑" w:eastAsia="微软雅黑"/>
                <w:b w:val="0"/>
                <w:sz w:val="20"/>
              </w:rPr>
              <w:t>已纳入一期</w:t>
            </w:r>
          </w:p>
        </w:tc>
      </w:tr>
      <w:tr w14:paraId="56F73C16">
        <w:tc>
          <w:tcPr>
            <w:tcW w:w="2365" w:type="dxa"/>
          </w:tcPr>
          <w:p w14:paraId="52B6CD93">
            <w:pPr>
              <w:spacing w:after="0" w:line="240" w:lineRule="auto"/>
            </w:pPr>
            <w:r>
              <w:rPr>
                <w:rFonts w:ascii="微软雅黑" w:hAnsi="微软雅黑" w:eastAsia="微软雅黑"/>
                <w:b w:val="0"/>
                <w:sz w:val="20"/>
              </w:rPr>
              <w:t>商品管理</w:t>
            </w:r>
          </w:p>
        </w:tc>
        <w:tc>
          <w:tcPr>
            <w:tcW w:w="2365" w:type="dxa"/>
          </w:tcPr>
          <w:p w14:paraId="275A91F8">
            <w:pPr>
              <w:spacing w:after="0" w:line="240" w:lineRule="auto"/>
            </w:pPr>
            <w:r>
              <w:rPr>
                <w:rFonts w:ascii="微软雅黑" w:hAnsi="微软雅黑" w:eastAsia="微软雅黑"/>
                <w:b w:val="0"/>
                <w:sz w:val="20"/>
              </w:rPr>
              <w:t>必做主模块</w:t>
            </w:r>
          </w:p>
        </w:tc>
        <w:tc>
          <w:tcPr>
            <w:tcW w:w="2365" w:type="dxa"/>
          </w:tcPr>
          <w:p w14:paraId="617A0DAB">
            <w:pPr>
              <w:spacing w:after="0" w:line="240" w:lineRule="auto"/>
            </w:pPr>
            <w:r>
              <w:rPr>
                <w:rFonts w:ascii="微软雅黑" w:hAnsi="微软雅黑" w:eastAsia="微软雅黑"/>
                <w:b w:val="0"/>
                <w:sz w:val="20"/>
              </w:rPr>
              <w:t>渠道商品列表、商品详情编辑、店铺规则联动</w:t>
            </w:r>
          </w:p>
        </w:tc>
        <w:tc>
          <w:tcPr>
            <w:tcW w:w="2365" w:type="dxa"/>
          </w:tcPr>
          <w:p w14:paraId="10B4B2F0">
            <w:pPr>
              <w:spacing w:after="0" w:line="240" w:lineRule="auto"/>
            </w:pPr>
            <w:r>
              <w:rPr>
                <w:rFonts w:ascii="微软雅黑" w:hAnsi="微软雅黑" w:eastAsia="微软雅黑"/>
                <w:b w:val="0"/>
                <w:sz w:val="20"/>
              </w:rPr>
              <w:t>已纳入一期</w:t>
            </w:r>
          </w:p>
        </w:tc>
      </w:tr>
      <w:tr w14:paraId="4558D595">
        <w:tc>
          <w:tcPr>
            <w:tcW w:w="2365" w:type="dxa"/>
          </w:tcPr>
          <w:p w14:paraId="6C779590">
            <w:pPr>
              <w:spacing w:after="0" w:line="240" w:lineRule="auto"/>
            </w:pPr>
            <w:r>
              <w:rPr>
                <w:rFonts w:ascii="微软雅黑" w:hAnsi="微软雅黑" w:eastAsia="微软雅黑"/>
                <w:b w:val="0"/>
                <w:sz w:val="20"/>
              </w:rPr>
              <w:t>库存管理</w:t>
            </w:r>
          </w:p>
        </w:tc>
        <w:tc>
          <w:tcPr>
            <w:tcW w:w="2365" w:type="dxa"/>
          </w:tcPr>
          <w:p w14:paraId="41075D96">
            <w:pPr>
              <w:spacing w:after="0" w:line="240" w:lineRule="auto"/>
            </w:pPr>
            <w:r>
              <w:rPr>
                <w:rFonts w:ascii="微软雅黑" w:hAnsi="微软雅黑" w:eastAsia="微软雅黑"/>
                <w:b w:val="0"/>
                <w:sz w:val="20"/>
              </w:rPr>
              <w:t>必做主模块</w:t>
            </w:r>
          </w:p>
        </w:tc>
        <w:tc>
          <w:tcPr>
            <w:tcW w:w="2365" w:type="dxa"/>
          </w:tcPr>
          <w:p w14:paraId="2948E007">
            <w:pPr>
              <w:spacing w:after="0" w:line="240" w:lineRule="auto"/>
            </w:pPr>
            <w:r>
              <w:rPr>
                <w:rFonts w:ascii="微软雅黑" w:hAnsi="微软雅黑" w:eastAsia="微软雅黑"/>
                <w:b w:val="0"/>
                <w:sz w:val="20"/>
              </w:rPr>
              <w:t>库存列表、快速调整、库存同步</w:t>
            </w:r>
          </w:p>
        </w:tc>
        <w:tc>
          <w:tcPr>
            <w:tcW w:w="2365" w:type="dxa"/>
          </w:tcPr>
          <w:p w14:paraId="3B08C75A">
            <w:pPr>
              <w:spacing w:after="0" w:line="240" w:lineRule="auto"/>
            </w:pPr>
            <w:r>
              <w:rPr>
                <w:rFonts w:ascii="微软雅黑" w:hAnsi="微软雅黑" w:eastAsia="微软雅黑"/>
                <w:b w:val="0"/>
                <w:sz w:val="20"/>
              </w:rPr>
              <w:t>已纳入一期</w:t>
            </w:r>
          </w:p>
        </w:tc>
      </w:tr>
      <w:tr w14:paraId="5DE81369">
        <w:tc>
          <w:tcPr>
            <w:tcW w:w="2365" w:type="dxa"/>
          </w:tcPr>
          <w:p w14:paraId="47F6D114">
            <w:pPr>
              <w:spacing w:after="0" w:line="240" w:lineRule="auto"/>
            </w:pPr>
            <w:r>
              <w:rPr>
                <w:rFonts w:ascii="微软雅黑" w:hAnsi="微软雅黑" w:eastAsia="微软雅黑"/>
                <w:b w:val="0"/>
                <w:sz w:val="20"/>
              </w:rPr>
              <w:t>配置管理</w:t>
            </w:r>
          </w:p>
        </w:tc>
        <w:tc>
          <w:tcPr>
            <w:tcW w:w="2365" w:type="dxa"/>
          </w:tcPr>
          <w:p w14:paraId="1692F0DB">
            <w:pPr>
              <w:spacing w:after="0" w:line="240" w:lineRule="auto"/>
            </w:pPr>
            <w:r>
              <w:rPr>
                <w:rFonts w:ascii="微软雅黑" w:hAnsi="微软雅黑" w:eastAsia="微软雅黑"/>
                <w:b w:val="0"/>
                <w:sz w:val="20"/>
              </w:rPr>
              <w:t>必做主模块</w:t>
            </w:r>
          </w:p>
        </w:tc>
        <w:tc>
          <w:tcPr>
            <w:tcW w:w="2365" w:type="dxa"/>
          </w:tcPr>
          <w:p w14:paraId="61B603AE">
            <w:pPr>
              <w:spacing w:after="0" w:line="240" w:lineRule="auto"/>
            </w:pPr>
            <w:r>
              <w:rPr>
                <w:rFonts w:ascii="微软雅黑" w:hAnsi="微软雅黑" w:eastAsia="微软雅黑"/>
                <w:b w:val="0"/>
                <w:sz w:val="20"/>
              </w:rPr>
              <w:t>配置列表、店铺配置详情</w:t>
            </w:r>
          </w:p>
        </w:tc>
        <w:tc>
          <w:tcPr>
            <w:tcW w:w="2365" w:type="dxa"/>
          </w:tcPr>
          <w:p w14:paraId="033E6A64">
            <w:pPr>
              <w:spacing w:after="0" w:line="240" w:lineRule="auto"/>
            </w:pPr>
            <w:r>
              <w:rPr>
                <w:rFonts w:ascii="微软雅黑" w:hAnsi="微软雅黑" w:eastAsia="微软雅黑"/>
                <w:b w:val="0"/>
                <w:sz w:val="20"/>
              </w:rPr>
              <w:t>已纳入一期</w:t>
            </w:r>
          </w:p>
        </w:tc>
      </w:tr>
      <w:tr w14:paraId="12481E41">
        <w:tc>
          <w:tcPr>
            <w:tcW w:w="2365" w:type="dxa"/>
          </w:tcPr>
          <w:p w14:paraId="5C99E76F">
            <w:pPr>
              <w:spacing w:after="0" w:line="240" w:lineRule="auto"/>
            </w:pPr>
            <w:r>
              <w:rPr>
                <w:rFonts w:ascii="微软雅黑" w:hAnsi="微软雅黑" w:eastAsia="微软雅黑"/>
                <w:b w:val="0"/>
                <w:sz w:val="20"/>
              </w:rPr>
              <w:t>素材管理</w:t>
            </w:r>
          </w:p>
        </w:tc>
        <w:tc>
          <w:tcPr>
            <w:tcW w:w="2365" w:type="dxa"/>
          </w:tcPr>
          <w:p w14:paraId="734279FB">
            <w:pPr>
              <w:spacing w:after="0" w:line="240" w:lineRule="auto"/>
            </w:pPr>
            <w:r>
              <w:rPr>
                <w:rFonts w:ascii="微软雅黑" w:hAnsi="微软雅黑" w:eastAsia="微软雅黑"/>
                <w:b w:val="0"/>
                <w:sz w:val="20"/>
              </w:rPr>
              <w:t>增强能力</w:t>
            </w:r>
          </w:p>
        </w:tc>
        <w:tc>
          <w:tcPr>
            <w:tcW w:w="2365" w:type="dxa"/>
          </w:tcPr>
          <w:p w14:paraId="33A177C0">
            <w:pPr>
              <w:spacing w:after="0" w:line="240" w:lineRule="auto"/>
            </w:pPr>
            <w:r>
              <w:rPr>
                <w:rFonts w:ascii="微软雅黑" w:hAnsi="微软雅黑" w:eastAsia="微软雅黑"/>
                <w:b w:val="0"/>
                <w:sz w:val="20"/>
              </w:rPr>
              <w:t>素材列表、素材详情、素材引用关系</w:t>
            </w:r>
          </w:p>
        </w:tc>
        <w:tc>
          <w:tcPr>
            <w:tcW w:w="2365" w:type="dxa"/>
          </w:tcPr>
          <w:p w14:paraId="4EA88AD0">
            <w:pPr>
              <w:spacing w:after="0" w:line="240" w:lineRule="auto"/>
            </w:pPr>
            <w:r>
              <w:rPr>
                <w:rFonts w:ascii="微软雅黑" w:hAnsi="微软雅黑" w:eastAsia="微软雅黑"/>
                <w:b w:val="0"/>
                <w:sz w:val="20"/>
              </w:rPr>
              <w:t>作为增强预留</w:t>
            </w:r>
          </w:p>
        </w:tc>
      </w:tr>
    </w:tbl>
    <w:p w14:paraId="5AD0AD35"/>
    <w:p w14:paraId="7FB7A4B2">
      <w:pPr>
        <w:pStyle w:val="4"/>
      </w:pPr>
      <w:r>
        <w:rPr>
          <w:rFonts w:ascii="微软雅黑" w:hAnsi="微软雅黑" w:eastAsia="微软雅黑"/>
          <w:b/>
          <w:sz w:val="28"/>
        </w:rPr>
        <w:t>当前明确不在一期范围内的内容</w:t>
      </w:r>
    </w:p>
    <w:p w14:paraId="0D60DCC6">
      <w:pPr>
        <w:pStyle w:val="16"/>
      </w:pPr>
      <w:r>
        <w:rPr>
          <w:rFonts w:ascii="微软雅黑" w:hAnsi="微软雅黑" w:eastAsia="微软雅黑"/>
          <w:sz w:val="22"/>
        </w:rPr>
        <w:t>不交付移动端、小程序端等其他操作端。</w:t>
      </w:r>
    </w:p>
    <w:p w14:paraId="0E652649">
      <w:pPr>
        <w:pStyle w:val="16"/>
      </w:pPr>
      <w:r>
        <w:rPr>
          <w:rFonts w:ascii="微软雅黑" w:hAnsi="微软雅黑" w:eastAsia="微软雅黑"/>
          <w:sz w:val="22"/>
        </w:rPr>
        <w:t>不交付系统配置详情、渠道配置详情、导入模板高级配置、操作日志等独立业务页面。</w:t>
      </w:r>
    </w:p>
    <w:p w14:paraId="6841E7C6">
      <w:pPr>
        <w:pStyle w:val="3"/>
      </w:pPr>
      <w:r>
        <w:rPr>
          <w:rFonts w:ascii="微软雅黑" w:hAnsi="微软雅黑" w:eastAsia="微软雅黑"/>
          <w:b/>
          <w:sz w:val="32"/>
        </w:rPr>
        <w:t>6. 核心业务场景</w:t>
      </w:r>
    </w:p>
    <w:p w14:paraId="4B203519">
      <w:pPr>
        <w:pStyle w:val="4"/>
      </w:pPr>
      <w:r>
        <w:rPr>
          <w:rFonts w:ascii="微软雅黑" w:hAnsi="微软雅黑" w:eastAsia="微软雅黑"/>
          <w:b/>
          <w:sz w:val="28"/>
        </w:rPr>
        <w:t>场景一：图书资料导入与产品建档</w:t>
      </w:r>
    </w:p>
    <w:p w14:paraId="1010B805">
      <w:pPr>
        <w:spacing w:after="120" w:line="312" w:lineRule="auto"/>
      </w:pPr>
      <w:r>
        <w:rPr>
          <w:rFonts w:ascii="微软雅黑" w:hAnsi="微软雅黑" w:eastAsia="微软雅黑"/>
          <w:sz w:val="22"/>
        </w:rPr>
        <w:t>当客户已有一批图书产品资料、SKU 信息和商品关联关系需要进入系统时，商品运营可以通过导入功能，基于标准模板上传资料包。系统会先校验数据结构和关键字段，再执行导入落库，并保留导入记录，便于回看成功结果和异常原因。</w:t>
      </w:r>
    </w:p>
    <w:p w14:paraId="329F30BD">
      <w:pPr>
        <w:spacing w:after="120" w:line="312" w:lineRule="auto"/>
      </w:pPr>
      <w:r>
        <w:rPr>
          <w:rFonts w:ascii="微软雅黑" w:hAnsi="微软雅黑" w:eastAsia="微软雅黑"/>
          <w:sz w:val="22"/>
        </w:rPr>
        <w:t>这个场景解决的是“批量建档效率低、导入问题难追溯”的问题。</w:t>
      </w:r>
    </w:p>
    <w:p w14:paraId="6C4B1E77">
      <w:pPr>
        <w:pStyle w:val="4"/>
      </w:pPr>
      <w:r>
        <w:rPr>
          <w:rFonts w:ascii="微软雅黑" w:hAnsi="微软雅黑" w:eastAsia="微软雅黑"/>
          <w:b/>
          <w:sz w:val="28"/>
        </w:rPr>
        <w:t>场景二：全渠道商品编辑</w:t>
      </w:r>
    </w:p>
    <w:p w14:paraId="365E6D07">
      <w:pPr>
        <w:spacing w:after="120" w:line="312" w:lineRule="auto"/>
      </w:pPr>
      <w:r>
        <w:rPr>
          <w:rFonts w:ascii="微软雅黑" w:hAnsi="微软雅黑" w:eastAsia="微软雅黑"/>
          <w:sz w:val="22"/>
        </w:rPr>
        <w:t>当某个店铺下的渠道商品完成导入和归集后，渠道运营可以在商品详情页直接维护标题、价格、属性、素材等信息。系统会根据当前店铺配置和类目规则，动态给出可维护字段范围，减少错误修改。</w:t>
      </w:r>
    </w:p>
    <w:p w14:paraId="2D138E87">
      <w:pPr>
        <w:spacing w:after="120" w:line="312" w:lineRule="auto"/>
      </w:pPr>
      <w:r>
        <w:rPr>
          <w:rFonts w:ascii="微软雅黑" w:hAnsi="微软雅黑" w:eastAsia="微软雅黑"/>
          <w:sz w:val="22"/>
        </w:rPr>
        <w:t>这个场景解决的是“已有商品维护重复、规则记忆成本高”的问题。</w:t>
      </w:r>
    </w:p>
    <w:p w14:paraId="26BAB2B1">
      <w:pPr>
        <w:pStyle w:val="4"/>
      </w:pPr>
      <w:r>
        <w:rPr>
          <w:rFonts w:ascii="微软雅黑" w:hAnsi="微软雅黑" w:eastAsia="微软雅黑"/>
          <w:b/>
          <w:sz w:val="28"/>
        </w:rPr>
        <w:t>场景三：库存查看、调整与同步</w:t>
      </w:r>
    </w:p>
    <w:p w14:paraId="27BE5711">
      <w:pPr>
        <w:spacing w:after="120" w:line="312" w:lineRule="auto"/>
      </w:pPr>
      <w:r>
        <w:rPr>
          <w:rFonts w:ascii="微软雅黑" w:hAnsi="微软雅黑" w:eastAsia="微软雅黑"/>
          <w:sz w:val="22"/>
        </w:rPr>
        <w:t>当运营团队需要统一查看不同产品、不同店铺下的库存情况时，可以通过库存列表进行查询，并在需要时直接发起快速调整和库存同步。系统会记录调整原因、变化结果和同步状态，便于后续追溯。</w:t>
      </w:r>
    </w:p>
    <w:p w14:paraId="7D8A7B04">
      <w:pPr>
        <w:spacing w:after="120" w:line="312" w:lineRule="auto"/>
      </w:pPr>
      <w:r>
        <w:rPr>
          <w:rFonts w:ascii="微软雅黑" w:hAnsi="微软雅黑" w:eastAsia="微软雅黑"/>
          <w:sz w:val="22"/>
        </w:rPr>
        <w:t>这个场景解决的是“库存数据分散、调整不可追溯”的问题。</w:t>
      </w:r>
    </w:p>
    <w:p w14:paraId="3B7772BA">
      <w:pPr>
        <w:pStyle w:val="4"/>
      </w:pPr>
      <w:r>
        <w:rPr>
          <w:rFonts w:ascii="微软雅黑" w:hAnsi="微软雅黑" w:eastAsia="微软雅黑"/>
          <w:b/>
          <w:sz w:val="28"/>
        </w:rPr>
        <w:t>场景四：店铺规则配置</w:t>
      </w:r>
    </w:p>
    <w:p w14:paraId="65E6CE3C">
      <w:pPr>
        <w:spacing w:after="120" w:line="312" w:lineRule="auto"/>
      </w:pPr>
      <w:r>
        <w:rPr>
          <w:rFonts w:ascii="微软雅黑" w:hAnsi="微软雅黑" w:eastAsia="微软雅黑"/>
          <w:sz w:val="22"/>
        </w:rPr>
        <w:t>当不同店铺在类目、默认配置、运费、时效等方面存在差异时，系统管理员可以在配置管理中统一维护店铺级规则。后续商品编辑和导入处理会自动读取这些规则，保证同一店铺下的数据处理口径一致。</w:t>
      </w:r>
    </w:p>
    <w:p w14:paraId="20C7BB32">
      <w:pPr>
        <w:spacing w:after="120" w:line="312" w:lineRule="auto"/>
      </w:pPr>
      <w:r>
        <w:rPr>
          <w:rFonts w:ascii="微软雅黑" w:hAnsi="微软雅黑" w:eastAsia="微软雅黑"/>
          <w:sz w:val="22"/>
        </w:rPr>
        <w:t>这个场景解决的是“规则散落、执行不一致”的问题。</w:t>
      </w:r>
    </w:p>
    <w:p w14:paraId="3877D273">
      <w:pPr>
        <w:pStyle w:val="4"/>
      </w:pPr>
      <w:r>
        <w:rPr>
          <w:rFonts w:ascii="微软雅黑" w:hAnsi="微软雅黑" w:eastAsia="微软雅黑"/>
          <w:b/>
          <w:sz w:val="28"/>
        </w:rPr>
        <w:t>场景五：素材统一沉淀（增强方向）</w:t>
      </w:r>
    </w:p>
    <w:p w14:paraId="46791EBF">
      <w:pPr>
        <w:spacing w:after="120" w:line="312" w:lineRule="auto"/>
      </w:pPr>
      <w:r>
        <w:rPr>
          <w:rFonts w:ascii="微软雅黑" w:hAnsi="微软雅黑" w:eastAsia="微软雅黑"/>
          <w:sz w:val="22"/>
        </w:rPr>
        <w:t>对于主图、详情图、版本图等素材，系统已经预留了统一沉淀和查看的能力方向。一期先完成产品和商品治理主链路，素材管理能力作为增强预留保留，后续可以按项目节奏接入。</w:t>
      </w:r>
    </w:p>
    <w:p w14:paraId="13B3BA81">
      <w:pPr>
        <w:pStyle w:val="3"/>
      </w:pPr>
      <w:r>
        <w:rPr>
          <w:rFonts w:ascii="微软雅黑" w:hAnsi="微软雅黑" w:eastAsia="微软雅黑"/>
          <w:b/>
          <w:sz w:val="32"/>
        </w:rPr>
        <w:t>7. 功能模块说明</w:t>
      </w:r>
    </w:p>
    <w:p w14:paraId="6F731F06">
      <w:pPr>
        <w:pStyle w:val="4"/>
      </w:pPr>
      <w:r>
        <w:rPr>
          <w:rFonts w:ascii="微软雅黑" w:hAnsi="微软雅黑" w:eastAsia="微软雅黑"/>
          <w:b/>
          <w:sz w:val="28"/>
        </w:rPr>
        <w:t>7.1 产品管理</w:t>
      </w:r>
    </w:p>
    <w:p w14:paraId="216EDDEE">
      <w:pPr>
        <w:spacing w:after="120" w:line="312" w:lineRule="auto"/>
      </w:pPr>
      <w:r>
        <w:rPr>
          <w:rFonts w:ascii="微软雅黑" w:hAnsi="微软雅黑" w:eastAsia="微软雅黑"/>
          <w:sz w:val="22"/>
        </w:rPr>
        <w:t>产品管理是一期的基础模块，用于承接统一的产品主档。</w:t>
      </w:r>
    </w:p>
    <w:p w14:paraId="514BF247">
      <w:pPr>
        <w:spacing w:after="120" w:line="312" w:lineRule="auto"/>
      </w:pPr>
      <w:r>
        <w:rPr>
          <w:rFonts w:ascii="微软雅黑" w:hAnsi="微软雅黑" w:eastAsia="微软雅黑"/>
          <w:sz w:val="22"/>
        </w:rPr>
        <w:t>核心能力包括：</w:t>
      </w:r>
    </w:p>
    <w:p w14:paraId="30373C26">
      <w:pPr>
        <w:pStyle w:val="16"/>
      </w:pPr>
      <w:r>
        <w:rPr>
          <w:rFonts w:ascii="微软雅黑" w:hAnsi="微软雅黑" w:eastAsia="微软雅黑"/>
          <w:sz w:val="22"/>
        </w:rPr>
        <w:t>查看和筛选产品列表；</w:t>
      </w:r>
    </w:p>
    <w:p w14:paraId="456B2ABE">
      <w:pPr>
        <w:pStyle w:val="16"/>
      </w:pPr>
      <w:r>
        <w:rPr>
          <w:rFonts w:ascii="微软雅黑" w:hAnsi="微软雅黑" w:eastAsia="微软雅黑"/>
          <w:sz w:val="22"/>
        </w:rPr>
        <w:t>维护产品基础信息和 SKU 摘要；</w:t>
      </w:r>
    </w:p>
    <w:p w14:paraId="1B841FCC">
      <w:pPr>
        <w:pStyle w:val="16"/>
      </w:pPr>
      <w:r>
        <w:rPr>
          <w:rFonts w:ascii="微软雅黑" w:hAnsi="微软雅黑" w:eastAsia="微软雅黑"/>
          <w:sz w:val="22"/>
        </w:rPr>
        <w:t>通过导入模板批量导入产品与商品资料；</w:t>
      </w:r>
    </w:p>
    <w:p w14:paraId="5F87DF23">
      <w:pPr>
        <w:pStyle w:val="16"/>
      </w:pPr>
      <w:r>
        <w:rPr>
          <w:rFonts w:ascii="微软雅黑" w:hAnsi="微软雅黑" w:eastAsia="微软雅黑"/>
          <w:sz w:val="22"/>
        </w:rPr>
        <w:t>通过导入记录回看批次结果和异常原因。</w:t>
      </w:r>
    </w:p>
    <w:p w14:paraId="662AF8F7">
      <w:pPr>
        <w:spacing w:after="120" w:line="312" w:lineRule="auto"/>
      </w:pPr>
      <w:r>
        <w:rPr>
          <w:rFonts w:ascii="微软雅黑" w:hAnsi="微软雅黑" w:eastAsia="微软雅黑"/>
          <w:sz w:val="22"/>
        </w:rPr>
        <w:t>客户价值：</w:t>
      </w:r>
    </w:p>
    <w:p w14:paraId="086E566D">
      <w:pPr>
        <w:pStyle w:val="16"/>
      </w:pPr>
      <w:r>
        <w:rPr>
          <w:rFonts w:ascii="微软雅黑" w:hAnsi="微软雅黑" w:eastAsia="微软雅黑"/>
          <w:sz w:val="22"/>
        </w:rPr>
        <w:t>让产品资料从分散文件转为统一主档；</w:t>
      </w:r>
    </w:p>
    <w:p w14:paraId="62316D28">
      <w:pPr>
        <w:pStyle w:val="16"/>
      </w:pPr>
      <w:r>
        <w:rPr>
          <w:rFonts w:ascii="微软雅黑" w:hAnsi="微软雅黑" w:eastAsia="微软雅黑"/>
          <w:sz w:val="22"/>
        </w:rPr>
        <w:t>支撑后续渠道商品、库存和配置协同；</w:t>
      </w:r>
    </w:p>
    <w:p w14:paraId="44C33C76">
      <w:pPr>
        <w:pStyle w:val="16"/>
      </w:pPr>
      <w:r>
        <w:rPr>
          <w:rFonts w:ascii="微软雅黑" w:hAnsi="微软雅黑" w:eastAsia="微软雅黑"/>
          <w:sz w:val="22"/>
        </w:rPr>
        <w:t>降低重复录入和人工整理成本。</w:t>
      </w:r>
    </w:p>
    <w:p w14:paraId="7DE9B185">
      <w:pPr>
        <w:pStyle w:val="4"/>
      </w:pPr>
      <w:r>
        <w:rPr>
          <w:rFonts w:ascii="微软雅黑" w:hAnsi="微软雅黑" w:eastAsia="微软雅黑"/>
          <w:b/>
          <w:sz w:val="28"/>
        </w:rPr>
        <w:t>7.2 商品管理</w:t>
      </w:r>
    </w:p>
    <w:p w14:paraId="34FCB174">
      <w:pPr>
        <w:spacing w:after="120" w:line="312" w:lineRule="auto"/>
      </w:pPr>
      <w:r>
        <w:rPr>
          <w:rFonts w:ascii="微软雅黑" w:hAnsi="微软雅黑" w:eastAsia="微软雅黑"/>
          <w:sz w:val="22"/>
        </w:rPr>
        <w:t>商品管理用于维护全渠道中已经存在的商品信息。</w:t>
      </w:r>
    </w:p>
    <w:p w14:paraId="202D3B46">
      <w:pPr>
        <w:spacing w:after="120" w:line="312" w:lineRule="auto"/>
      </w:pPr>
      <w:r>
        <w:rPr>
          <w:rFonts w:ascii="微软雅黑" w:hAnsi="微软雅黑" w:eastAsia="微软雅黑"/>
          <w:sz w:val="22"/>
        </w:rPr>
        <w:t>核心能力包括：</w:t>
      </w:r>
    </w:p>
    <w:p w14:paraId="57B1F247">
      <w:pPr>
        <w:pStyle w:val="16"/>
      </w:pPr>
      <w:r>
        <w:rPr>
          <w:rFonts w:ascii="微软雅黑" w:hAnsi="微软雅黑" w:eastAsia="微软雅黑"/>
          <w:sz w:val="22"/>
        </w:rPr>
        <w:t>按店铺、状态等条件查看渠道商品列表；</w:t>
      </w:r>
    </w:p>
    <w:p w14:paraId="7BD4E9F4">
      <w:pPr>
        <w:pStyle w:val="16"/>
      </w:pPr>
      <w:r>
        <w:rPr>
          <w:rFonts w:ascii="微软雅黑" w:hAnsi="微软雅黑" w:eastAsia="微软雅黑"/>
          <w:sz w:val="22"/>
        </w:rPr>
        <w:t>进入商品详情维护标题、价格、属性和素材等差异内容；</w:t>
      </w:r>
    </w:p>
    <w:p w14:paraId="4B16EACD">
      <w:pPr>
        <w:pStyle w:val="16"/>
      </w:pPr>
      <w:r>
        <w:rPr>
          <w:rFonts w:ascii="微软雅黑" w:hAnsi="微软雅黑" w:eastAsia="微软雅黑"/>
          <w:sz w:val="22"/>
        </w:rPr>
        <w:t>根据店铺和类目动态加载可维护字段范围。</w:t>
      </w:r>
    </w:p>
    <w:p w14:paraId="0F7B94F9">
      <w:pPr>
        <w:spacing w:after="120" w:line="312" w:lineRule="auto"/>
      </w:pPr>
      <w:r>
        <w:rPr>
          <w:rFonts w:ascii="微软雅黑" w:hAnsi="微软雅黑" w:eastAsia="微软雅黑"/>
          <w:sz w:val="22"/>
        </w:rPr>
        <w:t>客户价值：</w:t>
      </w:r>
    </w:p>
    <w:p w14:paraId="6EE75C0B">
      <w:pPr>
        <w:pStyle w:val="16"/>
      </w:pPr>
      <w:r>
        <w:rPr>
          <w:rFonts w:ascii="微软雅黑" w:hAnsi="微软雅黑" w:eastAsia="微软雅黑"/>
          <w:sz w:val="22"/>
        </w:rPr>
        <w:t>让商品维护围绕统一产品主档进行；</w:t>
      </w:r>
    </w:p>
    <w:p w14:paraId="4742BA0D">
      <w:pPr>
        <w:pStyle w:val="16"/>
      </w:pPr>
      <w:r>
        <w:rPr>
          <w:rFonts w:ascii="微软雅黑" w:hAnsi="微软雅黑" w:eastAsia="微软雅黑"/>
          <w:sz w:val="22"/>
        </w:rPr>
        <w:t>提升已有商品编辑效率；</w:t>
      </w:r>
    </w:p>
    <w:p w14:paraId="00E98176">
      <w:pPr>
        <w:pStyle w:val="16"/>
      </w:pPr>
      <w:r>
        <w:rPr>
          <w:rFonts w:ascii="微软雅黑" w:hAnsi="微软雅黑" w:eastAsia="微软雅黑"/>
          <w:sz w:val="22"/>
        </w:rPr>
        <w:t>降低人工记忆类目规则带来的出错概率。</w:t>
      </w:r>
    </w:p>
    <w:p w14:paraId="0BC2F4AD">
      <w:pPr>
        <w:pStyle w:val="4"/>
      </w:pPr>
      <w:r>
        <w:rPr>
          <w:rFonts w:ascii="微软雅黑" w:hAnsi="微软雅黑" w:eastAsia="微软雅黑"/>
          <w:b/>
          <w:sz w:val="28"/>
        </w:rPr>
        <w:t>7.3 库存管理</w:t>
      </w:r>
    </w:p>
    <w:p w14:paraId="6158E2D1">
      <w:pPr>
        <w:spacing w:after="120" w:line="312" w:lineRule="auto"/>
      </w:pPr>
      <w:r>
        <w:rPr>
          <w:rFonts w:ascii="微软雅黑" w:hAnsi="微软雅黑" w:eastAsia="微软雅黑"/>
          <w:sz w:val="22"/>
        </w:rPr>
        <w:t>库存管理是一期的统一库存视图入口。</w:t>
      </w:r>
    </w:p>
    <w:p w14:paraId="5669417E">
      <w:pPr>
        <w:spacing w:after="120" w:line="312" w:lineRule="auto"/>
      </w:pPr>
      <w:r>
        <w:rPr>
          <w:rFonts w:ascii="微软雅黑" w:hAnsi="微软雅黑" w:eastAsia="微软雅黑"/>
          <w:sz w:val="22"/>
        </w:rPr>
        <w:t>核心能力包括：</w:t>
      </w:r>
    </w:p>
    <w:p w14:paraId="24BB535F">
      <w:pPr>
        <w:pStyle w:val="16"/>
      </w:pPr>
      <w:r>
        <w:rPr>
          <w:rFonts w:ascii="微软雅黑" w:hAnsi="微软雅黑" w:eastAsia="微软雅黑"/>
          <w:sz w:val="22"/>
        </w:rPr>
        <w:t>按产品、渠道、店铺维度查看库存结果；</w:t>
      </w:r>
    </w:p>
    <w:p w14:paraId="7E9E990B">
      <w:pPr>
        <w:pStyle w:val="16"/>
      </w:pPr>
      <w:r>
        <w:rPr>
          <w:rFonts w:ascii="微软雅黑" w:hAnsi="微软雅黑" w:eastAsia="微软雅黑"/>
          <w:sz w:val="22"/>
        </w:rPr>
        <w:t>发起快速调整；</w:t>
      </w:r>
    </w:p>
    <w:p w14:paraId="188EE06C">
      <w:pPr>
        <w:pStyle w:val="16"/>
      </w:pPr>
      <w:r>
        <w:rPr>
          <w:rFonts w:ascii="微软雅黑" w:hAnsi="微软雅黑" w:eastAsia="微软雅黑"/>
          <w:sz w:val="22"/>
        </w:rPr>
        <w:t>触发库存同步并查看同步状态。</w:t>
      </w:r>
    </w:p>
    <w:p w14:paraId="007473FA">
      <w:pPr>
        <w:spacing w:after="120" w:line="312" w:lineRule="auto"/>
      </w:pPr>
      <w:r>
        <w:rPr>
          <w:rFonts w:ascii="微软雅黑" w:hAnsi="微软雅黑" w:eastAsia="微软雅黑"/>
          <w:sz w:val="22"/>
        </w:rPr>
        <w:t>客户价值：</w:t>
      </w:r>
    </w:p>
    <w:p w14:paraId="7D4D7EFD">
      <w:pPr>
        <w:pStyle w:val="16"/>
      </w:pPr>
      <w:r>
        <w:rPr>
          <w:rFonts w:ascii="微软雅黑" w:hAnsi="微软雅黑" w:eastAsia="微软雅黑"/>
          <w:sz w:val="22"/>
        </w:rPr>
        <w:t>统一库存查询口径；</w:t>
      </w:r>
    </w:p>
    <w:p w14:paraId="1AA106F7">
      <w:pPr>
        <w:pStyle w:val="16"/>
      </w:pPr>
      <w:r>
        <w:rPr>
          <w:rFonts w:ascii="微软雅黑" w:hAnsi="微软雅黑" w:eastAsia="微软雅黑"/>
          <w:sz w:val="22"/>
        </w:rPr>
        <w:t>支持运营快速处理库存变更；</w:t>
      </w:r>
    </w:p>
    <w:p w14:paraId="745F82E8">
      <w:pPr>
        <w:pStyle w:val="16"/>
      </w:pPr>
      <w:r>
        <w:rPr>
          <w:rFonts w:ascii="微软雅黑" w:hAnsi="微软雅黑" w:eastAsia="微软雅黑"/>
          <w:sz w:val="22"/>
        </w:rPr>
        <w:t>让库存结果具备可追溯能力。</w:t>
      </w:r>
    </w:p>
    <w:p w14:paraId="7D2112AD">
      <w:pPr>
        <w:pStyle w:val="4"/>
      </w:pPr>
      <w:r>
        <w:rPr>
          <w:rFonts w:ascii="微软雅黑" w:hAnsi="微软雅黑" w:eastAsia="微软雅黑"/>
          <w:b/>
          <w:sz w:val="28"/>
        </w:rPr>
        <w:t>7.4 配置管理</w:t>
      </w:r>
    </w:p>
    <w:p w14:paraId="7EAFD88C">
      <w:pPr>
        <w:spacing w:after="120" w:line="312" w:lineRule="auto"/>
      </w:pPr>
      <w:r>
        <w:rPr>
          <w:rFonts w:ascii="微软雅黑" w:hAnsi="微软雅黑" w:eastAsia="微软雅黑"/>
          <w:sz w:val="22"/>
        </w:rPr>
        <w:t>配置管理用于维护店铺级规则，是商品编辑和导入处理的重要规则来源。</w:t>
      </w:r>
    </w:p>
    <w:p w14:paraId="56EB29B7">
      <w:pPr>
        <w:spacing w:after="120" w:line="312" w:lineRule="auto"/>
      </w:pPr>
      <w:r>
        <w:rPr>
          <w:rFonts w:ascii="微软雅黑" w:hAnsi="微软雅黑" w:eastAsia="微软雅黑"/>
          <w:sz w:val="22"/>
        </w:rPr>
        <w:t>核心能力包括：</w:t>
      </w:r>
    </w:p>
    <w:p w14:paraId="7C872EA8">
      <w:pPr>
        <w:pStyle w:val="16"/>
      </w:pPr>
      <w:r>
        <w:rPr>
          <w:rFonts w:ascii="微软雅黑" w:hAnsi="微软雅黑" w:eastAsia="微软雅黑"/>
          <w:sz w:val="22"/>
        </w:rPr>
        <w:t>查看店铺配置列表；</w:t>
      </w:r>
    </w:p>
    <w:p w14:paraId="09E6617C">
      <w:pPr>
        <w:pStyle w:val="16"/>
      </w:pPr>
      <w:r>
        <w:rPr>
          <w:rFonts w:ascii="微软雅黑" w:hAnsi="微软雅黑" w:eastAsia="微软雅黑"/>
          <w:sz w:val="22"/>
        </w:rPr>
        <w:t>维护店铺配置详情；</w:t>
      </w:r>
    </w:p>
    <w:p w14:paraId="3129B438">
      <w:pPr>
        <w:pStyle w:val="16"/>
      </w:pPr>
      <w:r>
        <w:rPr>
          <w:rFonts w:ascii="微软雅黑" w:hAnsi="微软雅黑" w:eastAsia="微软雅黑"/>
          <w:sz w:val="22"/>
        </w:rPr>
        <w:t>提供类目规则、默认配置、运费和时效等基础参数。</w:t>
      </w:r>
    </w:p>
    <w:p w14:paraId="38517C42">
      <w:pPr>
        <w:spacing w:after="120" w:line="312" w:lineRule="auto"/>
      </w:pPr>
      <w:r>
        <w:rPr>
          <w:rFonts w:ascii="微软雅黑" w:hAnsi="微软雅黑" w:eastAsia="微软雅黑"/>
          <w:sz w:val="22"/>
        </w:rPr>
        <w:t>客户价值：</w:t>
      </w:r>
    </w:p>
    <w:p w14:paraId="6C88CB78">
      <w:pPr>
        <w:pStyle w:val="16"/>
      </w:pPr>
      <w:r>
        <w:rPr>
          <w:rFonts w:ascii="微软雅黑" w:hAnsi="微软雅黑" w:eastAsia="微软雅黑"/>
          <w:sz w:val="22"/>
        </w:rPr>
        <w:t>把原本分散的店铺规则沉淀成可复用的系统能力；</w:t>
      </w:r>
    </w:p>
    <w:p w14:paraId="4A3E1A0E">
      <w:pPr>
        <w:pStyle w:val="16"/>
      </w:pPr>
      <w:r>
        <w:rPr>
          <w:rFonts w:ascii="微软雅黑" w:hAnsi="微软雅黑" w:eastAsia="微软雅黑"/>
          <w:sz w:val="22"/>
        </w:rPr>
        <w:t>让导入和商品维护使用一致的处理口径；</w:t>
      </w:r>
    </w:p>
    <w:p w14:paraId="449713AB">
      <w:pPr>
        <w:pStyle w:val="16"/>
      </w:pPr>
      <w:r>
        <w:rPr>
          <w:rFonts w:ascii="微软雅黑" w:hAnsi="微软雅黑" w:eastAsia="微软雅黑"/>
          <w:sz w:val="22"/>
        </w:rPr>
        <w:t>提升规则执行的一致性。</w:t>
      </w:r>
    </w:p>
    <w:p w14:paraId="0CA5811C">
      <w:pPr>
        <w:pStyle w:val="4"/>
      </w:pPr>
      <w:r>
        <w:rPr>
          <w:rFonts w:ascii="微软雅黑" w:hAnsi="微软雅黑" w:eastAsia="微软雅黑"/>
          <w:b/>
          <w:sz w:val="28"/>
        </w:rPr>
        <w:t>7.5 素材管理（增强预留）</w:t>
      </w:r>
    </w:p>
    <w:p w14:paraId="52854925">
      <w:pPr>
        <w:spacing w:after="120" w:line="312" w:lineRule="auto"/>
      </w:pPr>
      <w:r>
        <w:rPr>
          <w:rFonts w:ascii="微软雅黑" w:hAnsi="微软雅黑" w:eastAsia="微软雅黑"/>
          <w:sz w:val="22"/>
        </w:rPr>
        <w:t>素材管理已经预留了统一查看和沉淀的方向，用于支撑主图、详情图、版本图等素材资产的集中治理。</w:t>
      </w:r>
    </w:p>
    <w:p w14:paraId="3D1F395C">
      <w:pPr>
        <w:spacing w:after="120" w:line="312" w:lineRule="auto"/>
      </w:pPr>
      <w:r>
        <w:rPr>
          <w:rFonts w:ascii="微软雅黑" w:hAnsi="微软雅黑" w:eastAsia="微软雅黑"/>
          <w:sz w:val="22"/>
        </w:rPr>
        <w:t>当前定位：</w:t>
      </w:r>
    </w:p>
    <w:p w14:paraId="524BE74C">
      <w:pPr>
        <w:pStyle w:val="16"/>
      </w:pPr>
      <w:r>
        <w:rPr>
          <w:rFonts w:ascii="微软雅黑" w:hAnsi="微软雅黑" w:eastAsia="微软雅黑"/>
          <w:sz w:val="22"/>
        </w:rPr>
        <w:t>一期保留增强设计；</w:t>
      </w:r>
    </w:p>
    <w:p w14:paraId="0DCFA74D">
      <w:pPr>
        <w:pStyle w:val="16"/>
      </w:pPr>
      <w:r>
        <w:rPr>
          <w:rFonts w:ascii="微软雅黑" w:hAnsi="微软雅黑" w:eastAsia="微软雅黑"/>
          <w:sz w:val="22"/>
        </w:rPr>
        <w:t>不作为一期主交付阻断项；</w:t>
      </w:r>
    </w:p>
    <w:p w14:paraId="505CD2D9">
      <w:pPr>
        <w:pStyle w:val="16"/>
      </w:pPr>
      <w:r>
        <w:rPr>
          <w:rFonts w:ascii="微软雅黑" w:hAnsi="微软雅黑" w:eastAsia="微软雅黑"/>
          <w:sz w:val="22"/>
        </w:rPr>
        <w:t>后续可以在产品治理稳定后接入。</w:t>
      </w:r>
    </w:p>
    <w:p w14:paraId="11B6E8FA">
      <w:pPr>
        <w:pStyle w:val="3"/>
      </w:pPr>
      <w:r>
        <w:rPr>
          <w:rFonts w:ascii="微软雅黑" w:hAnsi="微软雅黑" w:eastAsia="微软雅黑"/>
          <w:b/>
          <w:sz w:val="32"/>
        </w:rPr>
        <w:t>8. 导入模板与资料准备要求</w:t>
      </w:r>
    </w:p>
    <w:p w14:paraId="787E304A">
      <w:pPr>
        <w:spacing w:after="120" w:line="312" w:lineRule="auto"/>
      </w:pPr>
      <w:r>
        <w:rPr>
          <w:rFonts w:ascii="微软雅黑" w:hAnsi="微软雅黑" w:eastAsia="微软雅黑"/>
          <w:sz w:val="22"/>
        </w:rPr>
        <w:t>为了保证产品资料能够顺利进入系统，一期导入能力建议客户提前按模板准备基础数据。当前模板重点是中台建档、全渠道商品映射和后续编辑准备。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7D90FA28">
        <w:tc>
          <w:tcPr>
            <w:tcW w:w="2365" w:type="dxa"/>
          </w:tcPr>
          <w:p w14:paraId="2872B40E">
            <w:pPr>
              <w:spacing w:after="0" w:line="240" w:lineRule="auto"/>
            </w:pPr>
            <w:r>
              <w:rPr>
                <w:rFonts w:ascii="微软雅黑" w:hAnsi="微软雅黑" w:eastAsia="微软雅黑"/>
                <w:b/>
                <w:sz w:val="20"/>
              </w:rPr>
              <w:t>字段分组</w:t>
            </w:r>
          </w:p>
        </w:tc>
        <w:tc>
          <w:tcPr>
            <w:tcW w:w="2365" w:type="dxa"/>
          </w:tcPr>
          <w:p w14:paraId="484BE866">
            <w:pPr>
              <w:spacing w:after="0" w:line="240" w:lineRule="auto"/>
            </w:pPr>
            <w:r>
              <w:rPr>
                <w:rFonts w:ascii="微软雅黑" w:hAnsi="微软雅黑" w:eastAsia="微软雅黑"/>
                <w:b/>
                <w:sz w:val="20"/>
              </w:rPr>
              <w:t>重点字段</w:t>
            </w:r>
          </w:p>
        </w:tc>
        <w:tc>
          <w:tcPr>
            <w:tcW w:w="2365" w:type="dxa"/>
          </w:tcPr>
          <w:p w14:paraId="74F3C01C">
            <w:pPr>
              <w:spacing w:after="0" w:line="240" w:lineRule="auto"/>
            </w:pPr>
            <w:r>
              <w:rPr>
                <w:rFonts w:ascii="微软雅黑" w:hAnsi="微软雅黑" w:eastAsia="微软雅黑"/>
                <w:b/>
                <w:sz w:val="20"/>
              </w:rPr>
              <w:t>准备要求</w:t>
            </w:r>
          </w:p>
        </w:tc>
        <w:tc>
          <w:tcPr>
            <w:tcW w:w="2365" w:type="dxa"/>
          </w:tcPr>
          <w:p w14:paraId="1FC3D963">
            <w:pPr>
              <w:spacing w:after="0" w:line="240" w:lineRule="auto"/>
            </w:pPr>
            <w:r>
              <w:rPr>
                <w:rFonts w:ascii="微软雅黑" w:hAnsi="微软雅黑" w:eastAsia="微软雅黑"/>
                <w:b/>
                <w:sz w:val="20"/>
              </w:rPr>
              <w:t>说明</w:t>
            </w:r>
          </w:p>
        </w:tc>
      </w:tr>
      <w:tr w14:paraId="7A868C39">
        <w:tc>
          <w:tcPr>
            <w:tcW w:w="2365" w:type="dxa"/>
          </w:tcPr>
          <w:p w14:paraId="64B7151C">
            <w:pPr>
              <w:spacing w:after="0" w:line="240" w:lineRule="auto"/>
            </w:pPr>
            <w:r>
              <w:rPr>
                <w:rFonts w:ascii="微软雅黑" w:hAnsi="微软雅黑" w:eastAsia="微软雅黑"/>
                <w:b w:val="0"/>
                <w:sz w:val="20"/>
              </w:rPr>
              <w:t>基础维度</w:t>
            </w:r>
          </w:p>
        </w:tc>
        <w:tc>
          <w:tcPr>
            <w:tcW w:w="2365" w:type="dxa"/>
          </w:tcPr>
          <w:p w14:paraId="48366531">
            <w:pPr>
              <w:spacing w:after="0" w:line="240" w:lineRule="auto"/>
            </w:pPr>
            <w:r>
              <w:rPr>
                <w:rFonts w:ascii="微软雅黑" w:hAnsi="微软雅黑" w:eastAsia="微软雅黑"/>
                <w:b w:val="0"/>
                <w:sz w:val="20"/>
              </w:rPr>
              <w:t>渠道、店铺、类目</w:t>
            </w:r>
          </w:p>
        </w:tc>
        <w:tc>
          <w:tcPr>
            <w:tcW w:w="2365" w:type="dxa"/>
          </w:tcPr>
          <w:p w14:paraId="73B808EC">
            <w:pPr>
              <w:spacing w:after="0" w:line="240" w:lineRule="auto"/>
            </w:pPr>
            <w:r>
              <w:rPr>
                <w:rFonts w:ascii="微软雅黑" w:hAnsi="微软雅黑" w:eastAsia="微软雅黑"/>
                <w:b w:val="0"/>
                <w:sz w:val="20"/>
              </w:rPr>
              <w:t>必填</w:t>
            </w:r>
          </w:p>
        </w:tc>
        <w:tc>
          <w:tcPr>
            <w:tcW w:w="2365" w:type="dxa"/>
          </w:tcPr>
          <w:p w14:paraId="4817CDE4">
            <w:pPr>
              <w:spacing w:after="0" w:line="240" w:lineRule="auto"/>
            </w:pPr>
            <w:r>
              <w:rPr>
                <w:rFonts w:ascii="微软雅黑" w:hAnsi="微软雅黑" w:eastAsia="微软雅黑"/>
                <w:b w:val="0"/>
                <w:sz w:val="20"/>
              </w:rPr>
              <w:t>当前支持淘宝、拼多多、抖音、快手四渠道，店铺和类目会决定后续可维护范围</w:t>
            </w:r>
          </w:p>
        </w:tc>
      </w:tr>
      <w:tr w14:paraId="1245CE31">
        <w:tc>
          <w:tcPr>
            <w:tcW w:w="2365" w:type="dxa"/>
          </w:tcPr>
          <w:p w14:paraId="0362F538">
            <w:pPr>
              <w:spacing w:after="0" w:line="240" w:lineRule="auto"/>
            </w:pPr>
            <w:r>
              <w:rPr>
                <w:rFonts w:ascii="微软雅黑" w:hAnsi="微软雅黑" w:eastAsia="微软雅黑"/>
                <w:b w:val="0"/>
                <w:sz w:val="20"/>
              </w:rPr>
              <w:t>关联标识</w:t>
            </w:r>
          </w:p>
        </w:tc>
        <w:tc>
          <w:tcPr>
            <w:tcW w:w="2365" w:type="dxa"/>
          </w:tcPr>
          <w:p w14:paraId="3A83A7F0">
            <w:pPr>
              <w:spacing w:after="0" w:line="240" w:lineRule="auto"/>
            </w:pPr>
            <w:r>
              <w:rPr>
                <w:rFonts w:ascii="微软雅黑" w:hAnsi="微软雅黑" w:eastAsia="微软雅黑"/>
                <w:b w:val="0"/>
                <w:sz w:val="20"/>
              </w:rPr>
              <w:t>商品ID、商家编码</w:t>
            </w:r>
          </w:p>
        </w:tc>
        <w:tc>
          <w:tcPr>
            <w:tcW w:w="2365" w:type="dxa"/>
          </w:tcPr>
          <w:p w14:paraId="08DCB5F1">
            <w:pPr>
              <w:spacing w:after="0" w:line="240" w:lineRule="auto"/>
            </w:pPr>
            <w:r>
              <w:rPr>
                <w:rFonts w:ascii="微软雅黑" w:hAnsi="微软雅黑" w:eastAsia="微软雅黑"/>
                <w:b w:val="0"/>
                <w:sz w:val="20"/>
              </w:rPr>
              <w:t>商品ID 选填，商家编码必填</w:t>
            </w:r>
          </w:p>
        </w:tc>
        <w:tc>
          <w:tcPr>
            <w:tcW w:w="2365" w:type="dxa"/>
          </w:tcPr>
          <w:p w14:paraId="58059D72">
            <w:pPr>
              <w:spacing w:after="0" w:line="240" w:lineRule="auto"/>
            </w:pPr>
            <w:r>
              <w:rPr>
                <w:rFonts w:ascii="微软雅黑" w:hAnsi="微软雅黑" w:eastAsia="微软雅黑"/>
                <w:b w:val="0"/>
                <w:sz w:val="20"/>
              </w:rPr>
              <w:t>商品ID用于更新已有商品或建立映射；商家编码是产品与渠道商品归集的核心关联键</w:t>
            </w:r>
          </w:p>
        </w:tc>
      </w:tr>
      <w:tr w14:paraId="439D0C39">
        <w:tc>
          <w:tcPr>
            <w:tcW w:w="2365" w:type="dxa"/>
          </w:tcPr>
          <w:p w14:paraId="786FB6E3">
            <w:pPr>
              <w:spacing w:after="0" w:line="240" w:lineRule="auto"/>
            </w:pPr>
            <w:r>
              <w:rPr>
                <w:rFonts w:ascii="微软雅黑" w:hAnsi="微软雅黑" w:eastAsia="微软雅黑"/>
                <w:b w:val="0"/>
                <w:sz w:val="20"/>
              </w:rPr>
              <w:t>类目与销售信息</w:t>
            </w:r>
          </w:p>
        </w:tc>
        <w:tc>
          <w:tcPr>
            <w:tcW w:w="2365" w:type="dxa"/>
          </w:tcPr>
          <w:p w14:paraId="6A733A5D">
            <w:pPr>
              <w:spacing w:after="0" w:line="240" w:lineRule="auto"/>
            </w:pPr>
            <w:r>
              <w:rPr>
                <w:rFonts w:ascii="微软雅黑" w:hAnsi="微软雅黑" w:eastAsia="微软雅黑"/>
                <w:b w:val="0"/>
                <w:sz w:val="20"/>
              </w:rPr>
              <w:t>类目属性、销售属性</w:t>
            </w:r>
          </w:p>
        </w:tc>
        <w:tc>
          <w:tcPr>
            <w:tcW w:w="2365" w:type="dxa"/>
          </w:tcPr>
          <w:p w14:paraId="08533FC9">
            <w:pPr>
              <w:spacing w:after="0" w:line="240" w:lineRule="auto"/>
            </w:pPr>
            <w:r>
              <w:rPr>
                <w:rFonts w:ascii="微软雅黑" w:hAnsi="微软雅黑" w:eastAsia="微软雅黑"/>
                <w:b w:val="0"/>
                <w:sz w:val="20"/>
              </w:rPr>
              <w:t>必填</w:t>
            </w:r>
          </w:p>
        </w:tc>
        <w:tc>
          <w:tcPr>
            <w:tcW w:w="2365" w:type="dxa"/>
          </w:tcPr>
          <w:p w14:paraId="73A14991">
            <w:pPr>
              <w:spacing w:after="0" w:line="240" w:lineRule="auto"/>
            </w:pPr>
            <w:r>
              <w:rPr>
                <w:rFonts w:ascii="微软雅黑" w:hAnsi="微软雅黑" w:eastAsia="微软雅黑"/>
                <w:b w:val="0"/>
                <w:sz w:val="20"/>
              </w:rPr>
              <w:t>不是自由填写，需受渠道、店铺和店铺配置共同约束</w:t>
            </w:r>
          </w:p>
        </w:tc>
      </w:tr>
      <w:tr w14:paraId="21778D90">
        <w:tc>
          <w:tcPr>
            <w:tcW w:w="2365" w:type="dxa"/>
          </w:tcPr>
          <w:p w14:paraId="4125583E">
            <w:pPr>
              <w:spacing w:after="0" w:line="240" w:lineRule="auto"/>
            </w:pPr>
            <w:r>
              <w:rPr>
                <w:rFonts w:ascii="微软雅黑" w:hAnsi="微软雅黑" w:eastAsia="微软雅黑"/>
                <w:b w:val="0"/>
                <w:sz w:val="20"/>
              </w:rPr>
              <w:t>履约信息</w:t>
            </w:r>
          </w:p>
        </w:tc>
        <w:tc>
          <w:tcPr>
            <w:tcW w:w="2365" w:type="dxa"/>
          </w:tcPr>
          <w:p w14:paraId="3ED47B42">
            <w:pPr>
              <w:spacing w:after="0" w:line="240" w:lineRule="auto"/>
            </w:pPr>
            <w:r>
              <w:rPr>
                <w:rFonts w:ascii="微软雅黑" w:hAnsi="微软雅黑" w:eastAsia="微软雅黑"/>
                <w:b w:val="0"/>
                <w:sz w:val="20"/>
              </w:rPr>
              <w:t>运费模板、上下架状态、发货时效</w:t>
            </w:r>
          </w:p>
        </w:tc>
        <w:tc>
          <w:tcPr>
            <w:tcW w:w="2365" w:type="dxa"/>
          </w:tcPr>
          <w:p w14:paraId="6AC313C7">
            <w:pPr>
              <w:spacing w:after="0" w:line="240" w:lineRule="auto"/>
            </w:pPr>
            <w:r>
              <w:rPr>
                <w:rFonts w:ascii="微软雅黑" w:hAnsi="微软雅黑" w:eastAsia="微软雅黑"/>
                <w:b w:val="0"/>
                <w:sz w:val="20"/>
              </w:rPr>
              <w:t>必填</w:t>
            </w:r>
          </w:p>
        </w:tc>
        <w:tc>
          <w:tcPr>
            <w:tcW w:w="2365" w:type="dxa"/>
          </w:tcPr>
          <w:p w14:paraId="7E165C63">
            <w:pPr>
              <w:spacing w:after="0" w:line="240" w:lineRule="auto"/>
            </w:pPr>
            <w:r>
              <w:rPr>
                <w:rFonts w:ascii="微软雅黑" w:hAnsi="微软雅黑" w:eastAsia="微软雅黑"/>
                <w:b w:val="0"/>
                <w:sz w:val="20"/>
              </w:rPr>
              <w:t>由店铺规则驱动，保证同一店铺口径一致</w:t>
            </w:r>
          </w:p>
        </w:tc>
      </w:tr>
      <w:tr w14:paraId="6C4FF4DC">
        <w:tc>
          <w:tcPr>
            <w:tcW w:w="2365" w:type="dxa"/>
          </w:tcPr>
          <w:p w14:paraId="17885EB5">
            <w:pPr>
              <w:spacing w:after="0" w:line="240" w:lineRule="auto"/>
            </w:pPr>
            <w:r>
              <w:rPr>
                <w:rFonts w:ascii="微软雅黑" w:hAnsi="微软雅黑" w:eastAsia="微软雅黑"/>
                <w:b w:val="0"/>
                <w:sz w:val="20"/>
              </w:rPr>
              <w:t>SKU 信息</w:t>
            </w:r>
          </w:p>
        </w:tc>
        <w:tc>
          <w:tcPr>
            <w:tcW w:w="2365" w:type="dxa"/>
          </w:tcPr>
          <w:p w14:paraId="488EAC83">
            <w:pPr>
              <w:spacing w:after="0" w:line="240" w:lineRule="auto"/>
            </w:pPr>
            <w:r>
              <w:rPr>
                <w:rFonts w:ascii="微软雅黑" w:hAnsi="微软雅黑" w:eastAsia="微软雅黑"/>
                <w:b w:val="0"/>
                <w:sz w:val="20"/>
              </w:rPr>
              <w:t>SKU 编码、规格、库存</w:t>
            </w:r>
          </w:p>
        </w:tc>
        <w:tc>
          <w:tcPr>
            <w:tcW w:w="2365" w:type="dxa"/>
          </w:tcPr>
          <w:p w14:paraId="415E63B6">
            <w:pPr>
              <w:spacing w:after="0" w:line="240" w:lineRule="auto"/>
            </w:pPr>
            <w:r>
              <w:rPr>
                <w:rFonts w:ascii="微软雅黑" w:hAnsi="微软雅黑" w:eastAsia="微软雅黑"/>
                <w:b w:val="0"/>
                <w:sz w:val="20"/>
              </w:rPr>
              <w:t>必填</w:t>
            </w:r>
          </w:p>
        </w:tc>
        <w:tc>
          <w:tcPr>
            <w:tcW w:w="2365" w:type="dxa"/>
          </w:tcPr>
          <w:p w14:paraId="019DE0DC">
            <w:pPr>
              <w:spacing w:after="0" w:line="240" w:lineRule="auto"/>
            </w:pPr>
            <w:r>
              <w:rPr>
                <w:rFonts w:ascii="微软雅黑" w:hAnsi="微软雅黑" w:eastAsia="微软雅黑"/>
                <w:b w:val="0"/>
                <w:sz w:val="20"/>
              </w:rPr>
              <w:t>用于形成产品SKU和库存关联关系</w:t>
            </w:r>
          </w:p>
        </w:tc>
      </w:tr>
      <w:tr w14:paraId="358DE50B">
        <w:tc>
          <w:tcPr>
            <w:tcW w:w="2365" w:type="dxa"/>
          </w:tcPr>
          <w:p w14:paraId="5ECD5891">
            <w:pPr>
              <w:spacing w:after="0" w:line="240" w:lineRule="auto"/>
            </w:pPr>
            <w:r>
              <w:rPr>
                <w:rFonts w:ascii="微软雅黑" w:hAnsi="微软雅黑" w:eastAsia="微软雅黑"/>
                <w:b w:val="0"/>
                <w:sz w:val="20"/>
              </w:rPr>
              <w:t>图片素材</w:t>
            </w:r>
          </w:p>
        </w:tc>
        <w:tc>
          <w:tcPr>
            <w:tcW w:w="2365" w:type="dxa"/>
          </w:tcPr>
          <w:p w14:paraId="5DF040EE">
            <w:pPr>
              <w:spacing w:after="0" w:line="240" w:lineRule="auto"/>
            </w:pPr>
            <w:r>
              <w:rPr>
                <w:rFonts w:ascii="微软雅黑" w:hAnsi="微软雅黑" w:eastAsia="微软雅黑"/>
                <w:b w:val="0"/>
                <w:sz w:val="20"/>
              </w:rPr>
              <w:t>主图、详情图、SKU 图</w:t>
            </w:r>
          </w:p>
        </w:tc>
        <w:tc>
          <w:tcPr>
            <w:tcW w:w="2365" w:type="dxa"/>
          </w:tcPr>
          <w:p w14:paraId="69DAE198">
            <w:pPr>
              <w:spacing w:after="0" w:line="240" w:lineRule="auto"/>
            </w:pPr>
            <w:r>
              <w:rPr>
                <w:rFonts w:ascii="微软雅黑" w:hAnsi="微软雅黑" w:eastAsia="微软雅黑"/>
                <w:b w:val="0"/>
                <w:sz w:val="20"/>
              </w:rPr>
              <w:t>主图和详情图建议必备，SKU 图按版本需要准备</w:t>
            </w:r>
          </w:p>
        </w:tc>
        <w:tc>
          <w:tcPr>
            <w:tcW w:w="2365" w:type="dxa"/>
          </w:tcPr>
          <w:p w14:paraId="2D795816">
            <w:pPr>
              <w:spacing w:after="0" w:line="240" w:lineRule="auto"/>
            </w:pPr>
            <w:r>
              <w:rPr>
                <w:rFonts w:ascii="微软雅黑" w:hAnsi="微软雅黑" w:eastAsia="微软雅黑"/>
                <w:b w:val="0"/>
                <w:sz w:val="20"/>
              </w:rPr>
              <w:t>作为产品和商品资料的素材基础，支撑商品展示和编辑</w:t>
            </w:r>
          </w:p>
        </w:tc>
      </w:tr>
    </w:tbl>
    <w:p w14:paraId="5FA0BA2C"/>
    <w:p w14:paraId="12616C29">
      <w:pPr>
        <w:pStyle w:val="4"/>
      </w:pPr>
      <w:r>
        <w:rPr>
          <w:rFonts w:ascii="微软雅黑" w:hAnsi="微软雅黑" w:eastAsia="微软雅黑"/>
          <w:b/>
          <w:sz w:val="28"/>
        </w:rPr>
        <w:t>准备资料时需要重点注意</w:t>
      </w:r>
    </w:p>
    <w:p w14:paraId="5F2D7553">
      <w:pPr>
        <w:pStyle w:val="16"/>
      </w:pPr>
      <w:r>
        <w:rPr>
          <w:rFonts w:ascii="微软雅黑" w:hAnsi="微软雅黑" w:eastAsia="微软雅黑"/>
          <w:sz w:val="22"/>
        </w:rPr>
        <w:t>当前导入的目标是形成产品主档、SKU、素材和全渠道商品基础关系，支撑后续统一管理。</w:t>
      </w:r>
    </w:p>
    <w:p w14:paraId="6194E59C">
      <w:pPr>
        <w:pStyle w:val="16"/>
      </w:pPr>
      <w:r>
        <w:rPr>
          <w:rFonts w:ascii="微软雅黑" w:hAnsi="微软雅黑" w:eastAsia="微软雅黑"/>
          <w:sz w:val="22"/>
        </w:rPr>
        <w:t>商品ID是“已有商品更新或建立映射”的辅助字段，用于建立商品归集关系。</w:t>
      </w:r>
    </w:p>
    <w:p w14:paraId="0DB9CD54">
      <w:pPr>
        <w:pStyle w:val="16"/>
      </w:pPr>
      <w:r>
        <w:rPr>
          <w:rFonts w:ascii="微软雅黑" w:hAnsi="微软雅黑" w:eastAsia="微软雅黑"/>
          <w:sz w:val="22"/>
        </w:rPr>
        <w:t>商家编码建议在源数据中保持稳定唯一，便于后续导入归集和跨店铺识别。</w:t>
      </w:r>
    </w:p>
    <w:p w14:paraId="25B014D5">
      <w:pPr>
        <w:pStyle w:val="16"/>
      </w:pPr>
      <w:r>
        <w:rPr>
          <w:rFonts w:ascii="微软雅黑" w:hAnsi="微软雅黑" w:eastAsia="微软雅黑"/>
          <w:sz w:val="22"/>
        </w:rPr>
        <w:t>类目、属性、运费、时效等字段建议结合店铺实际规则提前整理，减少导入校验失败。</w:t>
      </w:r>
    </w:p>
    <w:p w14:paraId="0F030CBF">
      <w:pPr>
        <w:pStyle w:val="3"/>
      </w:pPr>
      <w:r>
        <w:rPr>
          <w:rFonts w:ascii="微软雅黑" w:hAnsi="微软雅黑" w:eastAsia="微软雅黑"/>
          <w:b/>
          <w:sz w:val="32"/>
        </w:rPr>
        <w:t>9. 典型使用流程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742E7421">
        <w:tc>
          <w:tcPr>
            <w:tcW w:w="2365" w:type="dxa"/>
          </w:tcPr>
          <w:p w14:paraId="4E43FDCF">
            <w:pPr>
              <w:spacing w:after="0" w:line="240" w:lineRule="auto"/>
            </w:pPr>
            <w:r>
              <w:rPr>
                <w:rFonts w:ascii="微软雅黑" w:hAnsi="微软雅黑" w:eastAsia="微软雅黑"/>
                <w:b/>
                <w:sz w:val="20"/>
              </w:rPr>
              <w:t>阶段</w:t>
            </w:r>
          </w:p>
        </w:tc>
        <w:tc>
          <w:tcPr>
            <w:tcW w:w="2365" w:type="dxa"/>
          </w:tcPr>
          <w:p w14:paraId="62D3E8F3">
            <w:pPr>
              <w:spacing w:after="0" w:line="240" w:lineRule="auto"/>
            </w:pPr>
            <w:r>
              <w:rPr>
                <w:rFonts w:ascii="微软雅黑" w:hAnsi="微软雅黑" w:eastAsia="微软雅黑"/>
                <w:b/>
                <w:sz w:val="20"/>
              </w:rPr>
              <w:t>主要参与角色</w:t>
            </w:r>
          </w:p>
        </w:tc>
        <w:tc>
          <w:tcPr>
            <w:tcW w:w="2365" w:type="dxa"/>
          </w:tcPr>
          <w:p w14:paraId="60559135">
            <w:pPr>
              <w:spacing w:after="0" w:line="240" w:lineRule="auto"/>
            </w:pPr>
            <w:r>
              <w:rPr>
                <w:rFonts w:ascii="微软雅黑" w:hAnsi="微软雅黑" w:eastAsia="微软雅黑"/>
                <w:b/>
                <w:sz w:val="20"/>
              </w:rPr>
              <w:t>主要动作</w:t>
            </w:r>
          </w:p>
        </w:tc>
        <w:tc>
          <w:tcPr>
            <w:tcW w:w="2365" w:type="dxa"/>
          </w:tcPr>
          <w:p w14:paraId="7E9469B2">
            <w:pPr>
              <w:spacing w:after="0" w:line="240" w:lineRule="auto"/>
            </w:pPr>
            <w:r>
              <w:rPr>
                <w:rFonts w:ascii="微软雅黑" w:hAnsi="微软雅黑" w:eastAsia="微软雅黑"/>
                <w:b/>
                <w:sz w:val="20"/>
              </w:rPr>
              <w:t>输出结果</w:t>
            </w:r>
          </w:p>
        </w:tc>
      </w:tr>
      <w:tr w14:paraId="3BCF5E3C">
        <w:tc>
          <w:tcPr>
            <w:tcW w:w="2365" w:type="dxa"/>
          </w:tcPr>
          <w:p w14:paraId="02CD5BC6">
            <w:pPr>
              <w:spacing w:after="0" w:line="240" w:lineRule="auto"/>
            </w:pPr>
            <w:r>
              <w:rPr>
                <w:rFonts w:ascii="微软雅黑" w:hAnsi="微软雅黑" w:eastAsia="微软雅黑"/>
                <w:b w:val="0"/>
                <w:sz w:val="20"/>
              </w:rPr>
              <w:t>第一步</w:t>
            </w:r>
          </w:p>
        </w:tc>
        <w:tc>
          <w:tcPr>
            <w:tcW w:w="2365" w:type="dxa"/>
          </w:tcPr>
          <w:p w14:paraId="1E125BF9">
            <w:pPr>
              <w:spacing w:after="0" w:line="240" w:lineRule="auto"/>
            </w:pPr>
            <w:r>
              <w:rPr>
                <w:rFonts w:ascii="微软雅黑" w:hAnsi="微软雅黑" w:eastAsia="微软雅黑"/>
                <w:b w:val="0"/>
                <w:sz w:val="20"/>
              </w:rPr>
              <w:t>商品运营</w:t>
            </w:r>
          </w:p>
        </w:tc>
        <w:tc>
          <w:tcPr>
            <w:tcW w:w="2365" w:type="dxa"/>
          </w:tcPr>
          <w:p w14:paraId="77897A37">
            <w:pPr>
              <w:spacing w:after="0" w:line="240" w:lineRule="auto"/>
            </w:pPr>
            <w:r>
              <w:rPr>
                <w:rFonts w:ascii="微软雅黑" w:hAnsi="微软雅黑" w:eastAsia="微软雅黑"/>
                <w:b w:val="0"/>
                <w:sz w:val="20"/>
              </w:rPr>
              <w:t>上传导入资料并校验</w:t>
            </w:r>
          </w:p>
        </w:tc>
        <w:tc>
          <w:tcPr>
            <w:tcW w:w="2365" w:type="dxa"/>
          </w:tcPr>
          <w:p w14:paraId="2546A524">
            <w:pPr>
              <w:spacing w:after="0" w:line="240" w:lineRule="auto"/>
            </w:pPr>
            <w:r>
              <w:rPr>
                <w:rFonts w:ascii="微软雅黑" w:hAnsi="微软雅黑" w:eastAsia="微软雅黑"/>
                <w:b w:val="0"/>
                <w:sz w:val="20"/>
              </w:rPr>
              <w:t>形成待确认导入任务</w:t>
            </w:r>
          </w:p>
        </w:tc>
      </w:tr>
      <w:tr w14:paraId="37ADF382">
        <w:tc>
          <w:tcPr>
            <w:tcW w:w="2365" w:type="dxa"/>
          </w:tcPr>
          <w:p w14:paraId="7D909E1D">
            <w:pPr>
              <w:spacing w:after="0" w:line="240" w:lineRule="auto"/>
            </w:pPr>
            <w:r>
              <w:rPr>
                <w:rFonts w:ascii="微软雅黑" w:hAnsi="微软雅黑" w:eastAsia="微软雅黑"/>
                <w:b w:val="0"/>
                <w:sz w:val="20"/>
              </w:rPr>
              <w:t>第二步</w:t>
            </w:r>
          </w:p>
        </w:tc>
        <w:tc>
          <w:tcPr>
            <w:tcW w:w="2365" w:type="dxa"/>
          </w:tcPr>
          <w:p w14:paraId="2062DA89">
            <w:pPr>
              <w:spacing w:after="0" w:line="240" w:lineRule="auto"/>
            </w:pPr>
            <w:r>
              <w:rPr>
                <w:rFonts w:ascii="微软雅黑" w:hAnsi="微软雅黑" w:eastAsia="微软雅黑"/>
                <w:b w:val="0"/>
                <w:sz w:val="20"/>
              </w:rPr>
              <w:t>商品运营</w:t>
            </w:r>
          </w:p>
        </w:tc>
        <w:tc>
          <w:tcPr>
            <w:tcW w:w="2365" w:type="dxa"/>
          </w:tcPr>
          <w:p w14:paraId="3CCCAA1A">
            <w:pPr>
              <w:spacing w:after="0" w:line="240" w:lineRule="auto"/>
            </w:pPr>
            <w:r>
              <w:rPr>
                <w:rFonts w:ascii="微软雅黑" w:hAnsi="微软雅黑" w:eastAsia="微软雅黑"/>
                <w:b w:val="0"/>
                <w:sz w:val="20"/>
              </w:rPr>
              <w:t>确认导入并查看导入记录</w:t>
            </w:r>
          </w:p>
        </w:tc>
        <w:tc>
          <w:tcPr>
            <w:tcW w:w="2365" w:type="dxa"/>
          </w:tcPr>
          <w:p w14:paraId="0C6A98DC">
            <w:pPr>
              <w:spacing w:after="0" w:line="240" w:lineRule="auto"/>
            </w:pPr>
            <w:r>
              <w:rPr>
                <w:rFonts w:ascii="微软雅黑" w:hAnsi="微软雅黑" w:eastAsia="微软雅黑"/>
                <w:b w:val="0"/>
                <w:sz w:val="20"/>
              </w:rPr>
              <w:t>形成产品主档、SKU 和关联结果</w:t>
            </w:r>
          </w:p>
        </w:tc>
      </w:tr>
      <w:tr w14:paraId="4FFEB70C">
        <w:tc>
          <w:tcPr>
            <w:tcW w:w="2365" w:type="dxa"/>
          </w:tcPr>
          <w:p w14:paraId="5987FDD9">
            <w:pPr>
              <w:spacing w:after="0" w:line="240" w:lineRule="auto"/>
            </w:pPr>
            <w:r>
              <w:rPr>
                <w:rFonts w:ascii="微软雅黑" w:hAnsi="微软雅黑" w:eastAsia="微软雅黑"/>
                <w:b w:val="0"/>
                <w:sz w:val="20"/>
              </w:rPr>
              <w:t>第三步</w:t>
            </w:r>
          </w:p>
        </w:tc>
        <w:tc>
          <w:tcPr>
            <w:tcW w:w="2365" w:type="dxa"/>
          </w:tcPr>
          <w:p w14:paraId="4698B1E4">
            <w:pPr>
              <w:spacing w:after="0" w:line="240" w:lineRule="auto"/>
            </w:pPr>
            <w:r>
              <w:rPr>
                <w:rFonts w:ascii="微软雅黑" w:hAnsi="微软雅黑" w:eastAsia="微软雅黑"/>
                <w:b w:val="0"/>
                <w:sz w:val="20"/>
              </w:rPr>
              <w:t>渠道运营</w:t>
            </w:r>
          </w:p>
        </w:tc>
        <w:tc>
          <w:tcPr>
            <w:tcW w:w="2365" w:type="dxa"/>
          </w:tcPr>
          <w:p w14:paraId="5CCA9303">
            <w:pPr>
              <w:spacing w:after="0" w:line="240" w:lineRule="auto"/>
            </w:pPr>
            <w:r>
              <w:rPr>
                <w:rFonts w:ascii="微软雅黑" w:hAnsi="微软雅黑" w:eastAsia="微软雅黑"/>
                <w:b w:val="0"/>
                <w:sz w:val="20"/>
              </w:rPr>
              <w:t>查看渠道商品并进入详情编辑</w:t>
            </w:r>
          </w:p>
        </w:tc>
        <w:tc>
          <w:tcPr>
            <w:tcW w:w="2365" w:type="dxa"/>
          </w:tcPr>
          <w:p w14:paraId="70F69A44">
            <w:pPr>
              <w:spacing w:after="0" w:line="240" w:lineRule="auto"/>
            </w:pPr>
            <w:r>
              <w:rPr>
                <w:rFonts w:ascii="微软雅黑" w:hAnsi="微软雅黑" w:eastAsia="微软雅黑"/>
                <w:b w:val="0"/>
                <w:sz w:val="20"/>
              </w:rPr>
              <w:t>更新渠道商品差异信息</w:t>
            </w:r>
          </w:p>
        </w:tc>
      </w:tr>
      <w:tr w14:paraId="4D506690">
        <w:tc>
          <w:tcPr>
            <w:tcW w:w="2365" w:type="dxa"/>
          </w:tcPr>
          <w:p w14:paraId="1E2D2B8C">
            <w:pPr>
              <w:spacing w:after="0" w:line="240" w:lineRule="auto"/>
            </w:pPr>
            <w:r>
              <w:rPr>
                <w:rFonts w:ascii="微软雅黑" w:hAnsi="微软雅黑" w:eastAsia="微软雅黑"/>
                <w:b w:val="0"/>
                <w:sz w:val="20"/>
              </w:rPr>
              <w:t>第四步</w:t>
            </w:r>
          </w:p>
        </w:tc>
        <w:tc>
          <w:tcPr>
            <w:tcW w:w="2365" w:type="dxa"/>
          </w:tcPr>
          <w:p w14:paraId="7FE25D0F">
            <w:pPr>
              <w:spacing w:after="0" w:line="240" w:lineRule="auto"/>
            </w:pPr>
            <w:r>
              <w:rPr>
                <w:rFonts w:ascii="微软雅黑" w:hAnsi="微软雅黑" w:eastAsia="微软雅黑"/>
                <w:b w:val="0"/>
                <w:sz w:val="20"/>
              </w:rPr>
              <w:t>系统管理员</w:t>
            </w:r>
          </w:p>
        </w:tc>
        <w:tc>
          <w:tcPr>
            <w:tcW w:w="2365" w:type="dxa"/>
          </w:tcPr>
          <w:p w14:paraId="3F1BF140">
            <w:pPr>
              <w:spacing w:after="0" w:line="240" w:lineRule="auto"/>
            </w:pPr>
            <w:r>
              <w:rPr>
                <w:rFonts w:ascii="微软雅黑" w:hAnsi="微软雅黑" w:eastAsia="微软雅黑"/>
                <w:b w:val="0"/>
                <w:sz w:val="20"/>
              </w:rPr>
              <w:t>维护店铺级规则</w:t>
            </w:r>
          </w:p>
        </w:tc>
        <w:tc>
          <w:tcPr>
            <w:tcW w:w="2365" w:type="dxa"/>
          </w:tcPr>
          <w:p w14:paraId="27C72E1D">
            <w:pPr>
              <w:spacing w:after="0" w:line="240" w:lineRule="auto"/>
            </w:pPr>
            <w:r>
              <w:rPr>
                <w:rFonts w:ascii="微软雅黑" w:hAnsi="微软雅黑" w:eastAsia="微软雅黑"/>
                <w:b w:val="0"/>
                <w:sz w:val="20"/>
              </w:rPr>
              <w:t>为商品编辑和导入提供规则基础</w:t>
            </w:r>
          </w:p>
        </w:tc>
      </w:tr>
      <w:tr w14:paraId="49AD00E0">
        <w:tc>
          <w:tcPr>
            <w:tcW w:w="2365" w:type="dxa"/>
          </w:tcPr>
          <w:p w14:paraId="2F4FCB57">
            <w:pPr>
              <w:spacing w:after="0" w:line="240" w:lineRule="auto"/>
            </w:pPr>
            <w:r>
              <w:rPr>
                <w:rFonts w:ascii="微软雅黑" w:hAnsi="微软雅黑" w:eastAsia="微软雅黑"/>
                <w:b w:val="0"/>
                <w:sz w:val="20"/>
              </w:rPr>
              <w:t>第五步</w:t>
            </w:r>
          </w:p>
        </w:tc>
        <w:tc>
          <w:tcPr>
            <w:tcW w:w="2365" w:type="dxa"/>
          </w:tcPr>
          <w:p w14:paraId="0DA04D31">
            <w:pPr>
              <w:spacing w:after="0" w:line="240" w:lineRule="auto"/>
            </w:pPr>
            <w:r>
              <w:rPr>
                <w:rFonts w:ascii="微软雅黑" w:hAnsi="微软雅黑" w:eastAsia="微软雅黑"/>
                <w:b w:val="0"/>
                <w:sz w:val="20"/>
              </w:rPr>
              <w:t>库存运营</w:t>
            </w:r>
          </w:p>
        </w:tc>
        <w:tc>
          <w:tcPr>
            <w:tcW w:w="2365" w:type="dxa"/>
          </w:tcPr>
          <w:p w14:paraId="42016D78">
            <w:pPr>
              <w:spacing w:after="0" w:line="240" w:lineRule="auto"/>
            </w:pPr>
            <w:r>
              <w:rPr>
                <w:rFonts w:ascii="微软雅黑" w:hAnsi="微软雅黑" w:eastAsia="微软雅黑"/>
                <w:b w:val="0"/>
                <w:sz w:val="20"/>
              </w:rPr>
              <w:t>查看库存、发起调整和同步</w:t>
            </w:r>
          </w:p>
        </w:tc>
        <w:tc>
          <w:tcPr>
            <w:tcW w:w="2365" w:type="dxa"/>
          </w:tcPr>
          <w:p w14:paraId="0EEE0ECC">
            <w:pPr>
              <w:spacing w:after="0" w:line="240" w:lineRule="auto"/>
            </w:pPr>
            <w:r>
              <w:rPr>
                <w:rFonts w:ascii="微软雅黑" w:hAnsi="微软雅黑" w:eastAsia="微软雅黑"/>
                <w:b w:val="0"/>
                <w:sz w:val="20"/>
              </w:rPr>
              <w:t>获得统一库存结果与同步状态</w:t>
            </w:r>
          </w:p>
        </w:tc>
      </w:tr>
    </w:tbl>
    <w:p w14:paraId="1FCD87A3"/>
    <w:p w14:paraId="47D8812F">
      <w:pPr>
        <w:pStyle w:val="3"/>
      </w:pPr>
      <w:r>
        <w:rPr>
          <w:rFonts w:ascii="微软雅黑" w:hAnsi="微软雅黑" w:eastAsia="微软雅黑"/>
          <w:b/>
          <w:sz w:val="32"/>
        </w:rPr>
        <w:t>10. 一期交付边界</w:t>
      </w:r>
    </w:p>
    <w:p w14:paraId="104B97E8">
      <w:pPr>
        <w:pStyle w:val="4"/>
      </w:pPr>
      <w:r>
        <w:rPr>
          <w:rFonts w:ascii="微软雅黑" w:hAnsi="微软雅黑" w:eastAsia="微软雅黑"/>
          <w:b/>
          <w:sz w:val="28"/>
        </w:rPr>
        <w:t>已支持</w:t>
      </w:r>
    </w:p>
    <w:p w14:paraId="66591E08">
      <w:pPr>
        <w:pStyle w:val="16"/>
      </w:pPr>
      <w:r>
        <w:rPr>
          <w:rFonts w:ascii="微软雅黑" w:hAnsi="微软雅黑" w:eastAsia="微软雅黑"/>
          <w:sz w:val="22"/>
        </w:rPr>
        <w:t>平台电脑端操作；</w:t>
      </w:r>
    </w:p>
    <w:p w14:paraId="1B9D15FE">
      <w:pPr>
        <w:pStyle w:val="16"/>
      </w:pPr>
      <w:r>
        <w:rPr>
          <w:rFonts w:ascii="微软雅黑" w:hAnsi="微软雅黑" w:eastAsia="微软雅黑"/>
          <w:sz w:val="22"/>
        </w:rPr>
        <w:t>淘宝、拼多多、抖音、快手四渠道导入；</w:t>
      </w:r>
    </w:p>
    <w:p w14:paraId="737C1291">
      <w:pPr>
        <w:pStyle w:val="16"/>
      </w:pPr>
      <w:r>
        <w:rPr>
          <w:rFonts w:ascii="微软雅黑" w:hAnsi="微软雅黑" w:eastAsia="微软雅黑"/>
          <w:sz w:val="22"/>
        </w:rPr>
        <w:t>产品导入与导入记录；</w:t>
      </w:r>
    </w:p>
    <w:p w14:paraId="566702A3">
      <w:pPr>
        <w:pStyle w:val="16"/>
      </w:pPr>
      <w:r>
        <w:rPr>
          <w:rFonts w:ascii="微软雅黑" w:hAnsi="微软雅黑" w:eastAsia="微软雅黑"/>
          <w:sz w:val="22"/>
        </w:rPr>
        <w:t>产品主档维护；</w:t>
      </w:r>
    </w:p>
    <w:p w14:paraId="122DEEA9">
      <w:pPr>
        <w:pStyle w:val="16"/>
      </w:pPr>
      <w:r>
        <w:rPr>
          <w:rFonts w:ascii="微软雅黑" w:hAnsi="微软雅黑" w:eastAsia="微软雅黑"/>
          <w:sz w:val="22"/>
        </w:rPr>
        <w:t>渠道商品列表与商品详情编辑；</w:t>
      </w:r>
    </w:p>
    <w:p w14:paraId="73AAB44C">
      <w:pPr>
        <w:pStyle w:val="16"/>
      </w:pPr>
      <w:r>
        <w:rPr>
          <w:rFonts w:ascii="微软雅黑" w:hAnsi="微软雅黑" w:eastAsia="微软雅黑"/>
          <w:sz w:val="22"/>
        </w:rPr>
        <w:t>店铺级规则配置；</w:t>
      </w:r>
    </w:p>
    <w:p w14:paraId="5461F272">
      <w:pPr>
        <w:pStyle w:val="16"/>
      </w:pPr>
      <w:r>
        <w:rPr>
          <w:rFonts w:ascii="微软雅黑" w:hAnsi="微软雅黑" w:eastAsia="微软雅黑"/>
          <w:sz w:val="22"/>
        </w:rPr>
        <w:t>库存统一查看、快速调整和同步。</w:t>
      </w:r>
    </w:p>
    <w:p w14:paraId="7F5D4AB9">
      <w:pPr>
        <w:pStyle w:val="4"/>
      </w:pPr>
      <w:r>
        <w:rPr>
          <w:rFonts w:ascii="微软雅黑" w:hAnsi="微软雅黑" w:eastAsia="微软雅黑"/>
          <w:b/>
          <w:sz w:val="28"/>
        </w:rPr>
        <w:t>增强预留</w:t>
      </w:r>
    </w:p>
    <w:p w14:paraId="1655C26B">
      <w:pPr>
        <w:pStyle w:val="16"/>
      </w:pPr>
      <w:r>
        <w:rPr>
          <w:rFonts w:ascii="微软雅黑" w:hAnsi="微软雅黑" w:eastAsia="微软雅黑"/>
          <w:sz w:val="22"/>
        </w:rPr>
        <w:t>素材管理；</w:t>
      </w:r>
    </w:p>
    <w:p w14:paraId="4AA51C62">
      <w:pPr>
        <w:pStyle w:val="16"/>
      </w:pPr>
      <w:r>
        <w:rPr>
          <w:rFonts w:ascii="微软雅黑" w:hAnsi="微软雅黑" w:eastAsia="微软雅黑"/>
          <w:sz w:val="22"/>
        </w:rPr>
        <w:t>库存详情和库存调整记录的独立页面；</w:t>
      </w:r>
    </w:p>
    <w:p w14:paraId="04A458DD">
      <w:pPr>
        <w:pStyle w:val="16"/>
      </w:pPr>
      <w:r>
        <w:rPr>
          <w:rFonts w:ascii="微软雅黑" w:hAnsi="微软雅黑" w:eastAsia="微软雅黑"/>
          <w:sz w:val="22"/>
        </w:rPr>
        <w:t>商品批量修改能力。</w:t>
      </w:r>
    </w:p>
    <w:p w14:paraId="1E372D4F">
      <w:pPr>
        <w:pStyle w:val="4"/>
      </w:pPr>
      <w:r>
        <w:rPr>
          <w:rFonts w:ascii="微软雅黑" w:hAnsi="微软雅黑" w:eastAsia="微软雅黑"/>
          <w:b/>
          <w:sz w:val="28"/>
        </w:rPr>
        <w:t>当前不包含</w:t>
      </w:r>
    </w:p>
    <w:p w14:paraId="3E81D502">
      <w:pPr>
        <w:pStyle w:val="16"/>
      </w:pPr>
      <w:r>
        <w:rPr>
          <w:rFonts w:ascii="微软雅黑" w:hAnsi="微软雅黑" w:eastAsia="微软雅黑"/>
          <w:sz w:val="22"/>
        </w:rPr>
        <w:t>其他操作端建设。</w:t>
      </w:r>
    </w:p>
    <w:p w14:paraId="366402AF">
      <w:pPr>
        <w:pStyle w:val="16"/>
      </w:pPr>
      <w:r>
        <w:rPr>
          <w:rFonts w:ascii="微软雅黑" w:hAnsi="微软雅黑" w:eastAsia="微软雅黑"/>
          <w:sz w:val="22"/>
        </w:rPr>
        <w:t>系统级和渠道级高级配置页面。</w:t>
      </w:r>
    </w:p>
    <w:p w14:paraId="364FCD3E">
      <w:pPr>
        <w:pStyle w:val="3"/>
      </w:pPr>
      <w:r>
        <w:rPr>
          <w:rFonts w:ascii="微软雅黑" w:hAnsi="微软雅黑" w:eastAsia="微软雅黑"/>
          <w:b/>
          <w:sz w:val="32"/>
        </w:rPr>
        <w:t>11. 项目价值总结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1"/>
        <w:gridCol w:w="4731"/>
      </w:tblGrid>
      <w:tr w14:paraId="61F5BB2F">
        <w:tc>
          <w:tcPr>
            <w:tcW w:w="4731" w:type="dxa"/>
          </w:tcPr>
          <w:p w14:paraId="712F0A1D">
            <w:pPr>
              <w:spacing w:after="0" w:line="240" w:lineRule="auto"/>
            </w:pPr>
            <w:r>
              <w:rPr>
                <w:rFonts w:ascii="微软雅黑" w:hAnsi="微软雅黑" w:eastAsia="微软雅黑"/>
                <w:b/>
                <w:sz w:val="20"/>
              </w:rPr>
              <w:t>价值方向</w:t>
            </w:r>
          </w:p>
        </w:tc>
        <w:tc>
          <w:tcPr>
            <w:tcW w:w="4731" w:type="dxa"/>
          </w:tcPr>
          <w:p w14:paraId="48F7E895">
            <w:pPr>
              <w:spacing w:after="0" w:line="240" w:lineRule="auto"/>
            </w:pPr>
            <w:r>
              <w:rPr>
                <w:rFonts w:ascii="微软雅黑" w:hAnsi="微软雅黑" w:eastAsia="微软雅黑"/>
                <w:b/>
                <w:sz w:val="20"/>
              </w:rPr>
              <w:t>说明</w:t>
            </w:r>
          </w:p>
        </w:tc>
      </w:tr>
      <w:tr w14:paraId="39C8BFB3">
        <w:tc>
          <w:tcPr>
            <w:tcW w:w="4731" w:type="dxa"/>
          </w:tcPr>
          <w:p w14:paraId="492F6FEA">
            <w:pPr>
              <w:spacing w:after="0" w:line="240" w:lineRule="auto"/>
            </w:pPr>
            <w:r>
              <w:rPr>
                <w:rFonts w:ascii="微软雅黑" w:hAnsi="微软雅黑" w:eastAsia="微软雅黑"/>
                <w:b w:val="0"/>
                <w:sz w:val="20"/>
              </w:rPr>
              <w:t>数据统一</w:t>
            </w:r>
          </w:p>
        </w:tc>
        <w:tc>
          <w:tcPr>
            <w:tcW w:w="4731" w:type="dxa"/>
          </w:tcPr>
          <w:p w14:paraId="04B1BD17">
            <w:pPr>
              <w:spacing w:after="0" w:line="240" w:lineRule="auto"/>
            </w:pPr>
            <w:r>
              <w:rPr>
                <w:rFonts w:ascii="微软雅黑" w:hAnsi="微软雅黑" w:eastAsia="微软雅黑"/>
                <w:b w:val="0"/>
                <w:sz w:val="20"/>
              </w:rPr>
              <w:t>建立图书商品的统一产品主档，减少资料分散</w:t>
            </w:r>
          </w:p>
        </w:tc>
      </w:tr>
      <w:tr w14:paraId="5574365B">
        <w:tc>
          <w:tcPr>
            <w:tcW w:w="4731" w:type="dxa"/>
          </w:tcPr>
          <w:p w14:paraId="20FBA834">
            <w:pPr>
              <w:spacing w:after="0" w:line="240" w:lineRule="auto"/>
            </w:pPr>
            <w:r>
              <w:rPr>
                <w:rFonts w:ascii="微软雅黑" w:hAnsi="微软雅黑" w:eastAsia="微软雅黑"/>
                <w:b w:val="0"/>
                <w:sz w:val="20"/>
              </w:rPr>
              <w:t>运营提效</w:t>
            </w:r>
          </w:p>
        </w:tc>
        <w:tc>
          <w:tcPr>
            <w:tcW w:w="4731" w:type="dxa"/>
          </w:tcPr>
          <w:p w14:paraId="3A796625">
            <w:pPr>
              <w:spacing w:after="0" w:line="240" w:lineRule="auto"/>
            </w:pPr>
            <w:r>
              <w:rPr>
                <w:rFonts w:ascii="微软雅黑" w:hAnsi="微软雅黑" w:eastAsia="微软雅黑"/>
                <w:b w:val="0"/>
                <w:sz w:val="20"/>
              </w:rPr>
              <w:t>通过导入、规则联动和已有商品编辑降低人工重复维护</w:t>
            </w:r>
          </w:p>
        </w:tc>
      </w:tr>
      <w:tr w14:paraId="12A2758A">
        <w:tc>
          <w:tcPr>
            <w:tcW w:w="4731" w:type="dxa"/>
          </w:tcPr>
          <w:p w14:paraId="55F05C08">
            <w:pPr>
              <w:spacing w:after="0" w:line="240" w:lineRule="auto"/>
            </w:pPr>
            <w:r>
              <w:rPr>
                <w:rFonts w:ascii="微软雅黑" w:hAnsi="微软雅黑" w:eastAsia="微软雅黑"/>
                <w:b w:val="0"/>
                <w:sz w:val="20"/>
              </w:rPr>
              <w:t>协同清晰</w:t>
            </w:r>
          </w:p>
        </w:tc>
        <w:tc>
          <w:tcPr>
            <w:tcW w:w="4731" w:type="dxa"/>
          </w:tcPr>
          <w:p w14:paraId="2ED9F2DC">
            <w:pPr>
              <w:spacing w:after="0" w:line="240" w:lineRule="auto"/>
            </w:pPr>
            <w:r>
              <w:rPr>
                <w:rFonts w:ascii="微软雅黑" w:hAnsi="微软雅黑" w:eastAsia="微软雅黑"/>
                <w:b w:val="0"/>
                <w:sz w:val="20"/>
              </w:rPr>
              <w:t>商品、渠道、库存、配置之间形成清晰协同链路</w:t>
            </w:r>
          </w:p>
        </w:tc>
      </w:tr>
      <w:tr w14:paraId="3D4084F5">
        <w:tc>
          <w:tcPr>
            <w:tcW w:w="4731" w:type="dxa"/>
          </w:tcPr>
          <w:p w14:paraId="6FF2BE85">
            <w:pPr>
              <w:spacing w:after="0" w:line="240" w:lineRule="auto"/>
            </w:pPr>
            <w:r>
              <w:rPr>
                <w:rFonts w:ascii="微软雅黑" w:hAnsi="微软雅黑" w:eastAsia="微软雅黑"/>
                <w:b w:val="0"/>
                <w:sz w:val="20"/>
              </w:rPr>
              <w:t>结果可追溯</w:t>
            </w:r>
          </w:p>
        </w:tc>
        <w:tc>
          <w:tcPr>
            <w:tcW w:w="4731" w:type="dxa"/>
          </w:tcPr>
          <w:p w14:paraId="64C4E7A3">
            <w:pPr>
              <w:spacing w:after="0" w:line="240" w:lineRule="auto"/>
            </w:pPr>
            <w:r>
              <w:rPr>
                <w:rFonts w:ascii="微软雅黑" w:hAnsi="微软雅黑" w:eastAsia="微软雅黑"/>
                <w:b w:val="0"/>
                <w:sz w:val="20"/>
              </w:rPr>
              <w:t>导入、库存调整和同步结果都有记录可回看</w:t>
            </w:r>
          </w:p>
        </w:tc>
      </w:tr>
      <w:tr w14:paraId="540D5EEC">
        <w:tc>
          <w:tcPr>
            <w:tcW w:w="4731" w:type="dxa"/>
          </w:tcPr>
          <w:p w14:paraId="430BCABC">
            <w:pPr>
              <w:spacing w:after="0" w:line="240" w:lineRule="auto"/>
            </w:pPr>
            <w:r>
              <w:rPr>
                <w:rFonts w:ascii="微软雅黑" w:hAnsi="微软雅黑" w:eastAsia="微软雅黑"/>
                <w:b w:val="0"/>
                <w:sz w:val="20"/>
              </w:rPr>
              <w:t>扩展可持续</w:t>
            </w:r>
          </w:p>
        </w:tc>
        <w:tc>
          <w:tcPr>
            <w:tcW w:w="4731" w:type="dxa"/>
          </w:tcPr>
          <w:p w14:paraId="517E0B9C">
            <w:pPr>
              <w:spacing w:after="0" w:line="240" w:lineRule="auto"/>
            </w:pPr>
            <w:r>
              <w:rPr>
                <w:rFonts w:ascii="微软雅黑" w:hAnsi="微软雅黑" w:eastAsia="微软雅黑"/>
                <w:b w:val="0"/>
                <w:sz w:val="20"/>
              </w:rPr>
              <w:t>当前先完成四渠道导入和统一管理，后续具备向更深运营能力扩展的基础</w:t>
            </w:r>
          </w:p>
        </w:tc>
      </w:tr>
    </w:tbl>
    <w:p w14:paraId="17F28A2A"/>
    <w:p w14:paraId="54378707">
      <w:pPr>
        <w:pStyle w:val="3"/>
      </w:pPr>
      <w:r>
        <w:rPr>
          <w:rFonts w:ascii="微软雅黑" w:hAnsi="微软雅黑" w:eastAsia="微软雅黑"/>
          <w:b/>
          <w:sz w:val="32"/>
        </w:rPr>
        <w:t>12. 后续可扩展方向</w:t>
      </w:r>
    </w:p>
    <w:p w14:paraId="7C14F02E">
      <w:pPr>
        <w:spacing w:after="120" w:line="312" w:lineRule="auto"/>
      </w:pPr>
      <w:r>
        <w:rPr>
          <w:rFonts w:ascii="微软雅黑" w:hAnsi="微软雅黑" w:eastAsia="微软雅黑"/>
          <w:sz w:val="22"/>
        </w:rPr>
        <w:t>基于当前一期建设结果，后续可优先评估以下扩展方向：</w:t>
      </w:r>
    </w:p>
    <w:p w14:paraId="417EC36D">
      <w:pPr>
        <w:pStyle w:val="16"/>
      </w:pPr>
      <w:r>
        <w:rPr>
          <w:rFonts w:ascii="微软雅黑" w:hAnsi="微软雅黑" w:eastAsia="微软雅黑"/>
          <w:sz w:val="22"/>
        </w:rPr>
        <w:t>渠道能力继续深化；</w:t>
      </w:r>
    </w:p>
    <w:p w14:paraId="76DE846C">
      <w:pPr>
        <w:pStyle w:val="16"/>
      </w:pPr>
      <w:r>
        <w:rPr>
          <w:rFonts w:ascii="微软雅黑" w:hAnsi="微软雅黑" w:eastAsia="微软雅黑"/>
          <w:sz w:val="22"/>
        </w:rPr>
        <w:t>商品批量修改能力；</w:t>
      </w:r>
    </w:p>
    <w:p w14:paraId="067303D6">
      <w:pPr>
        <w:pStyle w:val="16"/>
      </w:pPr>
      <w:r>
        <w:rPr>
          <w:rFonts w:ascii="微软雅黑" w:hAnsi="微软雅黑" w:eastAsia="微软雅黑"/>
          <w:sz w:val="22"/>
        </w:rPr>
        <w:t>素材中心增强；</w:t>
      </w:r>
    </w:p>
    <w:p w14:paraId="797C0ABC">
      <w:pPr>
        <w:pStyle w:val="16"/>
      </w:pPr>
      <w:r>
        <w:rPr>
          <w:rFonts w:ascii="微软雅黑" w:hAnsi="微软雅黑" w:eastAsia="微软雅黑"/>
          <w:sz w:val="22"/>
        </w:rPr>
        <w:t>库存详情与台账能力增强；</w:t>
      </w:r>
    </w:p>
    <w:p w14:paraId="0F6AB06F">
      <w:pPr>
        <w:pStyle w:val="16"/>
      </w:pPr>
      <w:r>
        <w:rPr>
          <w:rFonts w:ascii="微软雅黑" w:hAnsi="微软雅黑" w:eastAsia="微软雅黑"/>
          <w:sz w:val="22"/>
        </w:rPr>
        <w:t>更完整的规则配置体系。</w:t>
      </w:r>
    </w:p>
    <w:p w14:paraId="39AA4B58">
      <w:pPr>
        <w:spacing w:after="120" w:line="312" w:lineRule="auto"/>
      </w:pPr>
      <w:r>
        <w:rPr>
          <w:rFonts w:ascii="微软雅黑" w:hAnsi="微软雅黑" w:eastAsia="微软雅黑"/>
          <w:sz w:val="22"/>
        </w:rPr>
        <w:t>以上方向属于后续阶段规划，不纳入当前一期交付承诺。</w:t>
      </w:r>
    </w:p>
    <w:sectPr>
      <w:headerReference r:id="rId5" w:type="default"/>
      <w:footerReference r:id="rId6" w:type="default"/>
      <w:pgSz w:w="12240" w:h="15840"/>
      <w:pgMar w:top="1417" w:right="130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22E89">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4909F">
    <w:pPr>
      <w:pStyle w:val="25"/>
      <w:jc w:val="center"/>
    </w:pPr>
    <w:r>
      <w:rPr>
        <w:rFonts w:ascii="微软雅黑" w:hAnsi="微软雅黑" w:eastAsia="微软雅黑"/>
        <w:sz w:val="18"/>
      </w:rPr>
      <w:t>图书多渠道商品中台 | 一期产品说明（客户版）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6F64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言心</cp:lastModifiedBy>
  <dcterms:modified xsi:type="dcterms:W3CDTF">2026-04-20T17:37:25Z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308D94010BE7C256D5F3E569213C39BD_42</vt:lpwstr>
  </property>
</Properties>
</file>