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与回撤控制是资产管理中最常用的两类规则型风控，既有研究多孤立评估其一，且普遍假设投资者可以使用杠杆——这与中国绝大多数零售投资者及"固收+"产品的真实处境不符。本文将两类风控置于统一的无杠杆约束框架，考察其交互效应。理论分析表明，波动率目标的仓位缩放函数在杠杆上限处被截断，"低波动加仓"功能丧失；回撤控制以乘性方式叠加并在高波动期同步触发，二者复合为"双重去杠杆"。基于中国六类资产13.2年样本的证据显示：单独使用波动率目标时收益—风险前沿单调递增，叠加回撤控制后转为单峰并存在内点最优，此后提高风险预算反而降低收益；关闭全部战术信号后该分岔依然存在。机制上，回撤控制使敞口实现率从0.821降至0.461，削减具有棘轮效应，收益损失主要来自敞口效应而非择时效应的破坏。以效用、收益、风险三种口径量化两重约束的福利成本则发现，叠加回撤控制后杠杆约束的成本降至近零，回撤控制自身的成本为其10倍以上。两项边界须一并说明：本文策略相对国债ETF的风险调整优势未获统计支持（p=0.774），故不主张其优于一切基准；前沿的单峰形状具有条件性，四组回撤阈值中仅两组出现内点最优，而"回撤控制在高目标波动区造成4—7个百分点的收益损失"这一成本层结论在全部检验方向上成立。由此，本文识别并量化了两类风控在无杠杆约束下的负交互：在无法使用杠杆的条件下，风控层的堆叠会系统性侵蚀收益。</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4.21亿户；2026年上半年新开户中，个人投资者为2009.66万户，机构投资者仅6.47万户，个人占比99.7%。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824.55万名。以4.21亿户个人账户为分母估算，具备两融资格的个人账户占比约为2.0%，即超过98%的个人投资者账户受到 Ē=1 的硬约束。此处 Ē 表示杠杆上限，即风险资产敞口 e_t 的上界：Ē=1 指最多只能把全部资金配置于风险资产、不得借入，Ē=2 指最多使用一倍杠杆，形式化定义见第2.4节。同期统计还显示，日均资产低于50万元的账户占比在92%—97%之间。Ē=1 因此不是理论抽象，而是中国绝大多数个人投资者的真实处境。</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3.54万亿元（中金公司口径），同比增长74%，创历史新高；Wind口径下二季度末约3.52万亿元。这类产品的基金合同普遍将权益仓位限定在0—40%区间，客户还会提出"不能出现年度亏损"的诉求，后者恰恰构成一项强制性的回撤控制要求。</w:t>
      </w:r>
    </w:p>
    <w:p>
      <w:pPr>
        <w:spacing w:before="0" w:after="60" w:line="360" w:lineRule="auto"/>
        <w:ind w:firstLine="480"/>
      </w:pPr>
      <w:r>
        <w:rPr>
          <w:rFonts w:ascii="Times New Roman" w:hAnsi="Times New Roman" w:eastAsia="宋体"/>
          <w:b/>
          <w:i w:val="0"/>
          <w:sz w:val="24"/>
        </w:rPr>
        <w:t>来自行业一线的警告。</w:t>
      </w:r>
      <w:r>
        <w:rPr>
          <w:rFonts w:ascii="Times New Roman" w:hAnsi="Times New Roman" w:eastAsia="宋体"/>
          <w:b w:val="0"/>
          <w:i w:val="0"/>
          <w:sz w:val="24"/>
        </w:rPr>
        <w:t xml:space="preserve"> 《经济参考报》（2026年5月6日）在报道"固收+"规模狂欢时指出："部分机构为了冲规模，在产品设计上过度迎合渠道需求，权益仓位弹性空间被压缩，债券底仓则通过拉长久期、下沉信用来获取收益，本质上是在用信用风险和流动性风险置换所谓的稳健收益。"这段观察精确地描述了本文所研究的问题：当回撤控制被刚性绑定、杠杆通道同时关闭，管理人只能在"压缩弹性"与"下沉信用"之间取舍，两者都是代价。</w:t>
      </w:r>
    </w:p>
    <w:p>
      <w:pPr>
        <w:spacing w:before="0" w:after="60" w:line="360" w:lineRule="auto"/>
        <w:ind w:firstLine="480"/>
      </w:pPr>
      <w:r>
        <w:rPr>
          <w:rFonts w:ascii="Times New Roman" w:hAnsi="Times New Roman" w:eastAsia="宋体"/>
          <w:b/>
          <w:i w:val="0"/>
          <w:sz w:val="24"/>
        </w:rPr>
        <w:t>规模换算的量级（及其严格限定）。</w:t>
      </w:r>
      <w:r>
        <w:rPr>
          <w:rFonts w:ascii="Times New Roman" w:hAnsi="Times New Roman" w:eastAsia="宋体"/>
          <w:b w:val="0"/>
          <w:i w:val="0"/>
          <w:sz w:val="24"/>
        </w:rPr>
        <w:t xml:space="preserve"> 把约束与规模并置，可得一个粗略的量级估算。"固收+"产品的3.54万亿元规模中，按基金合同权益仓位0—40%的中位即约20%计，权益资产约为0.71万亿元。第七节的测算表明，回撤控制带来约3.79个百分点的年化收益当量损失，对应每年约269亿元的机会成本；杠杆约束的成本仅约0.36个百分点，约26亿元。两者相差一个数量级。</w:t>
      </w:r>
    </w:p>
    <w:p>
      <w:pPr>
        <w:spacing w:before="0" w:after="60" w:line="360" w:lineRule="auto"/>
        <w:ind w:firstLine="480"/>
      </w:pPr>
      <w:r>
        <w:rPr>
          <w:rFonts w:ascii="Times New Roman" w:hAnsi="Times New Roman" w:eastAsia="宋体"/>
          <w:b w:val="0"/>
          <w:i w:val="0"/>
          <w:sz w:val="24"/>
        </w:rPr>
        <w:t>这些数字并不构成对实际福利损失的估计，只是一次反事实的量级提示。它至少依赖四项在现实中难以成立的假设：全部3.54万亿元产品都采用本文给定的资产池与参数；实际权益仓位恰为区间中位；回撤控制条款与本文阈值一致；信号、执行与费率无差异。任何一项被放松，具体数字都会大幅变动。因此这批数字只支持一个排序判断，即回撤控制的单位成本远高于杠杆约束，不支持任何总量判断，后文的政策讨论也严格建立在这一限定之上。</w:t>
      </w:r>
    </w:p>
    <w:p>
      <w:pPr>
        <w:spacing w:before="0" w:after="60" w:line="360" w:lineRule="auto"/>
        <w:ind w:firstLine="480"/>
      </w:pPr>
      <w:r>
        <w:rPr>
          <w:rFonts w:ascii="Times New Roman" w:hAnsi="Times New Roman" w:eastAsia="宋体"/>
          <w:b w:val="0"/>
          <w:i w:val="0"/>
          <w:sz w:val="24"/>
        </w:rPr>
        <w:t>上述事实指向同一个研究情境：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不预测市场，只对已发生的风险做出机械反应。这一特征既是优势所在——无需预测能力，也是软肋所在——行动总在坏消息之后。</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框架中"低波动时加仓"本质上就是加杠杆。现实中却存在大量无法使用杠杆的投资者：中国零售投资者受限于融资融券门槛与场内ETF缺乏杠杆品种，"固收+"产品亦受合同权益仓位上限的约束。在 Ē=1 下，波动率目标函数 e^V=min(σ*/σ̂, 1) 被截断，"加仓"通道关闭，只剩下"减仓"通道，策略的性质随之改变。</w:t>
      </w:r>
    </w:p>
    <w:p>
      <w:pPr>
        <w:spacing w:before="0" w:after="60" w:line="360" w:lineRule="auto"/>
        <w:ind w:firstLine="480"/>
      </w:pPr>
      <w:r>
        <w:rPr>
          <w:rFonts w:ascii="Times New Roman" w:hAnsi="Times New Roman" w:eastAsia="宋体"/>
          <w:b w:val="0"/>
          <w:i w:val="0"/>
          <w:sz w:val="24"/>
        </w:rPr>
        <w:t>问题还有第二层。当回撤控制以乘性方式叠加其上时，两层风控的减仓动作会在同一时期同步发生，因为高波动期往往也是回撤最深期。本文称之为</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本文的实证结果有四个层次。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5.48%→11.28%）；叠加回撤控制后前沿转为单峰，内点最优落在目标波动5.5%（年化6.47%、最大回撤−4.15%、夏普1.43、卡玛1.56），此后继续放大目标波动，年化收益反而下降至5.37%（σ*=12%）。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按"收益—目标波动"关系分别估计两条分支的斜率：关闭回撤控制时为 +0.6479（R²=0.988），开启后骤降至 +0.0270（R²=0.020），斜率之差 −0.6209 几乎完全抵消主效应，抵消幅度95.8%（该比较的推断口径说明见第4.3节）。block bootstrap 以21日为块、重复抽样2000次，给出内点最优相对高目标波动的夏普优势 +0.439，95%置信区间[0.092,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敞口实现率（实际波动与目标波动之比）从0.821单调降至0.461，敞口削减比例从28.4%升至60.1%。具体看，目标敞口从0.444提升至0.852，升幅92%，有效敞口却仅从0.318升至0.340，升幅6.9%：增加的风险预算中约93%从未被使用。收益归因显示，回撤控制吞噬的主要是敞口效应（σ*=12%时从10.36%降至4.13%），择时能力基本未受影响。事件研究则不支持"减错时点"的解释：以未施加风控的参照组合作状态控制后，重度减仓期之后的市场前瞻收益在20—120日窗口内低于未减仓期（−0.69至−5.82个百分点），仅250日窗口略高0.45个百分点，两组前瞻收益之差在 block bootstrap 下不显著（p=0.653）。本文据此不主张"回撤控制减错了时点"：即便时点判断正确，被压至15%的仓位也无法参与此后的修复，损失来自敞口被压制后的复利损失与棘轮效应。</w:t>
      </w:r>
    </w:p>
    <w:p>
      <w:pPr>
        <w:spacing w:before="0" w:after="60" w:line="360" w:lineRule="auto"/>
        <w:ind w:firstLine="480"/>
      </w:pPr>
      <w:r>
        <w:rPr>
          <w:rFonts w:ascii="Times New Roman" w:hAnsi="Times New Roman" w:eastAsia="宋体"/>
          <w:b/>
          <w:i w:val="0"/>
          <w:sz w:val="24"/>
        </w:rPr>
        <w:t>第四，约束成本的量化指向了另一重约束。</w:t>
      </w:r>
      <w:r>
        <w:rPr>
          <w:rFonts w:ascii="Times New Roman" w:hAnsi="Times New Roman" w:eastAsia="宋体"/>
          <w:b w:val="0"/>
          <w:i w:val="0"/>
          <w:sz w:val="24"/>
        </w:rPr>
        <w:t xml:space="preserve"> 以效用、收益、风险三种口径度量，一旦叠加回撤控制，杠杆约束的福利成本即降至接近于零（γ=1 效用口径0.363pp；回撤上限6%时收益口径−0.09pp；收益目标≤6%时风险口径0.00pp），而回撤控制本身的成本高达3.794pp。两重约束之中，回撤控制才是福利损失的主要来源。</w:t>
      </w:r>
    </w:p>
    <w:p>
      <w:pPr>
        <w:spacing w:before="0" w:after="60" w:line="360" w:lineRule="auto"/>
        <w:ind w:firstLine="480"/>
      </w:pPr>
      <w:r>
        <w:rPr>
          <w:rFonts w:ascii="Times New Roman" w:hAnsi="Times New Roman" w:eastAsia="宋体"/>
          <w:b w:val="0"/>
          <w:i w:val="0"/>
          <w:sz w:val="24"/>
        </w:rPr>
        <w:t>此处须预先声明一处边界。内点最优并非无条件成立：四组回撤控制阈值中仅触发线较紧的两组出现内点最优，宽松组与连续线性 ramp 变体的前沿仍单调递增，单峰形状因此应读作"足够紧的回撤控制"与"无法使用杠杆"两项条件的联合产物。成本层结论不受此限制——全部变体中回撤控制在 σ*=12% 处造成的收益损失稳定在4.10至7.40个百分点——故本文的核心主张放在成本层，形状层仅作为条件性发现报告。</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在展开具体贡献之前，有必要先明确本文主张的类型。本文不是一篇"策略优于基准"的资产配置论文：策略含有在样本内被检验的参数，其相对国债ETF的风险调整优势未获统计支持（p=0.774），相对股票指数的优势也部分来自低波动本身。本文识别的是一类机制——在无杠杆约束下，波动率目标与回撤控制之间存在负交互，它使"提高风险预算换取收益"这一基本操作在超过阈值后失效，并改变约束成本的排序。机制识别类研究的评价标准是该机制是否存在、是否可量化、是否可被证伪，而非该策略是否跑赢，本文全部稳健性检验均据此设计。</w:t>
      </w:r>
    </w:p>
    <w:p>
      <w:pPr>
        <w:spacing w:before="0" w:after="60" w:line="360" w:lineRule="auto"/>
        <w:ind w:firstLine="480"/>
      </w:pPr>
      <w:r>
        <w:rPr>
          <w:rFonts w:ascii="Times New Roman" w:hAnsi="Times New Roman" w:eastAsia="宋体"/>
          <w:b w:val="0"/>
          <w:i w:val="0"/>
          <w:sz w:val="24"/>
        </w:rPr>
        <w:t>本文的边际贡献有五个方面。</w:t>
      </w:r>
    </w:p>
    <w:p>
      <w:pPr>
        <w:spacing w:before="0" w:after="60" w:line="360" w:lineRule="auto"/>
        <w:ind w:firstLine="480"/>
      </w:pPr>
      <w:r>
        <w:rPr>
          <w:rFonts w:ascii="Times New Roman" w:hAnsi="Times New Roman" w:eastAsia="宋体"/>
          <w:b w:val="0"/>
          <w:i w:val="0"/>
          <w:sz w:val="24"/>
        </w:rPr>
        <w:t>其一，拓展了波动率择时的研究边界。既有文献（Moreira and Muir, 2017; Cederburg et al., 2020; Bongaerts et al., 2020）均以可自由加杠杆为前提。本文把同一框架置于无杠杆约束之下，证明其收益-风险前沿的形状与有杠杆情形存在本质差异，也为实务中"波动率目标效果不稳定"提供了一种解释，即差异的根源可能不在市场，而在杠杆约束。</w:t>
      </w:r>
    </w:p>
    <w:p>
      <w:pPr>
        <w:spacing w:before="0" w:after="60" w:line="360" w:lineRule="auto"/>
        <w:ind w:firstLine="480"/>
      </w:pPr>
      <w:r>
        <w:rPr>
          <w:rFonts w:ascii="Times New Roman" w:hAnsi="Times New Roman" w:eastAsia="宋体"/>
          <w:b w:val="0"/>
          <w:i w:val="0"/>
          <w:sz w:val="24"/>
        </w:rPr>
        <w:t>其二，提出"双重去杠杆陷阱"这一机制假设并给出可证伪的检验。既有研究孤立评估单层风控，本文证明两层之间存在显著的负交互，且该交互无法通过放松杠杆约束化解——放松至 Ē=2 后内点最优依然存在，末端衰减仅从0.67pp降至0.14pp。原因在于回撤控制的削减是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的，杠杆只能放大第一层的产出，无法对抗第二层的削减比例。证据取自单一市场、单一资产池与单一参数族，外部有效性有待跨市场检验，对该假设的态度因此是"未被证伪"而非"已被证实"。</w:t>
      </w:r>
    </w:p>
    <w:p>
      <w:pPr>
        <w:spacing w:before="0" w:after="60" w:line="360" w:lineRule="auto"/>
        <w:ind w:firstLine="480"/>
      </w:pPr>
      <w:r>
        <w:rPr>
          <w:rFonts w:ascii="Times New Roman" w:hAnsi="Times New Roman" w:eastAsia="宋体"/>
          <w:b w:val="0"/>
          <w:i w:val="0"/>
          <w:sz w:val="24"/>
        </w:rPr>
        <w:t>其三，提供了来自中国多资产市场的独立证据。现有波动率管理研究以美股为中心，而中国市场的高波动、高换手与散户主导特征构成一个不同的检验环境，样本覆盖2015年股灾、2018年熊市、2020年疫情冲击、2022年股债汇三杀等极端事件。2.3节梳理了中国本土的动量与反转证据，据此不使用已被反复证明不显著的月度横截面动量，风险 overlay 的检验因而不受"管理了一串噪声"这一替代解释的困扰。</w:t>
      </w:r>
    </w:p>
    <w:p>
      <w:pPr>
        <w:spacing w:before="0" w:after="60" w:line="360" w:lineRule="auto"/>
        <w:ind w:firstLine="480"/>
      </w:pPr>
      <w:r>
        <w:rPr>
          <w:rFonts w:ascii="Times New Roman" w:hAnsi="Times New Roman" w:eastAsia="宋体"/>
          <w:b w:val="0"/>
          <w:i w:val="0"/>
          <w:sz w:val="24"/>
        </w:rPr>
        <w:t>其四，一项方法论上的发现。ETF 份额折算会造成严重的价格假跳变：纳斯达克100 ETF 在2022-01-14出现单日−80.4%，中证500 ETF 在2015-04-15出现单日+248.5%。若不作校正，纳斯达克100 ETF 的回测年化将从校正后的21.03%被低估至6.68%，偏差达14.35个百分点（该校正检验的序列口径见第6.4节表16）。本文报告了这一数据陷阱及其校正方法，对后续使用中国 ETF 数据的研究有直接参考价值。</w:t>
      </w:r>
    </w:p>
    <w:p>
      <w:pPr>
        <w:spacing w:before="0" w:after="60" w:line="360" w:lineRule="auto"/>
        <w:ind w:firstLine="480"/>
      </w:pPr>
      <w:r>
        <w:rPr>
          <w:rFonts w:ascii="Times New Roman" w:hAnsi="Times New Roman" w:eastAsia="宋体"/>
          <w:b w:val="0"/>
          <w:i w:val="0"/>
          <w:sz w:val="24"/>
        </w:rPr>
        <w:t>其五，把两重约束的福利成本放在同一尺度上度量。本文在56个目标波动、杠杆上限与回撤控制状态的组合上，以效用、收益、风险三种口径度量约束成本，结果显示：在回撤被严格控制时，杠杆约束的福利成本接近于零，最低至0.00pp，而回撤控制本身的成本达3.794pp，为前者的10.4倍。这一排序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波动率管理依赖两个典型事实：波动率聚集（clustering），以及已实现波动与未来收益的弱负相关。Fleming et al.（2001, 2003）最早证明波动率择时具有经济价值。Moreira and Muir（2017）将其系统化为"波动率管理组合"（VMP）：以 σ*/σ̂²_{t} 缩放风险资产敞口，对市场组合及规模、价值、动量、盈利、投资等因子均能显著提升夏普比率，扣除交易成本与杠杆约束后收益依然稳健。</w:t>
      </w:r>
    </w:p>
    <w:p>
      <w:pPr>
        <w:spacing w:before="0" w:after="60" w:line="360" w:lineRule="auto"/>
        <w:ind w:firstLine="480"/>
      </w:pPr>
      <w:r>
        <w:rPr>
          <w:rFonts w:ascii="Times New Roman" w:hAnsi="Times New Roman" w:eastAsia="宋体"/>
          <w:b w:val="0"/>
          <w:i w:val="0"/>
          <w:sz w:val="24"/>
        </w:rPr>
        <w:t>此后这一"免费午餐"受到持续检验，最先被质疑的是实时可行性。Moreira-Muir 的方差缩放系数系事后（ex post）构造，Liu et al.（2019）指出这一点后，实时校准下的表现显著恶化；Cederburg et al.（2020）在103个股票策略上的验证给出了更硬的口径：实时实施下，72%的策略夏普比率低于未管理组合。</w:t>
      </w:r>
    </w:p>
    <w:p>
      <w:pPr>
        <w:spacing w:before="0" w:after="60" w:line="360" w:lineRule="auto"/>
        <w:ind w:firstLine="480"/>
      </w:pPr>
      <w:r>
        <w:rPr>
          <w:rFonts w:ascii="Times New Roman" w:hAnsi="Times New Roman" w:eastAsia="宋体"/>
          <w:b w:val="0"/>
          <w:i w:val="0"/>
          <w:sz w:val="24"/>
        </w:rPr>
        <w:t xml:space="preserve">即便引入六种成本缓释方案，除市场组合外多数因子的 VMP 在扣除成本后 alpha 归零、夏普比率显著下降——Barroso and Detzel（2021）在 </w:t>
      </w:r>
      <w:r>
        <w:rPr>
          <w:rFonts w:ascii="Times New Roman" w:hAnsi="Times New Roman" w:eastAsia="宋体"/>
          <w:b w:val="0"/>
          <w:i w:val="0"/>
          <w:sz w:val="24"/>
        </w:rPr>
        <w:t>*JFE*</w:t>
      </w:r>
      <w:r>
        <w:rPr>
          <w:rFonts w:ascii="Times New Roman" w:hAnsi="Times New Roman" w:eastAsia="宋体"/>
          <w:b w:val="0"/>
          <w:i w:val="0"/>
          <w:sz w:val="24"/>
        </w:rPr>
        <w:t xml:space="preserve"> 上从交易成本、套利风险与卖空约束三个角度检验均指向这一结果。唯一的例外是市场组合：其超额收益集中于套利风险低、易做空的股票，且仅在情绪高涨期出现。</w:t>
      </w:r>
    </w:p>
    <w:p>
      <w:pPr>
        <w:spacing w:before="0" w:after="60" w:line="360" w:lineRule="auto"/>
        <w:ind w:firstLine="480"/>
      </w:pPr>
      <w:r>
        <w:rPr>
          <w:rFonts w:ascii="Times New Roman" w:hAnsi="Times New Roman" w:eastAsia="宋体"/>
          <w:b w:val="0"/>
          <w:i w:val="0"/>
          <w:sz w:val="24"/>
        </w:rPr>
        <w:t>还有一类质疑指向实施效果本身：传统的波动率目标会显著超调波动目标，反而扩大最大回撤与尾部风险，并带来超过200%/年的换手率与时变杠杆（Bongaerts et al., 2020）。</w:t>
      </w:r>
    </w:p>
    <w:p>
      <w:pPr>
        <w:spacing w:before="0" w:after="60" w:line="360" w:lineRule="auto"/>
        <w:ind w:firstLine="480"/>
      </w:pPr>
      <w:r>
        <w:rPr>
          <w:rFonts w:ascii="Times New Roman" w:hAnsi="Times New Roman" w:eastAsia="宋体"/>
          <w:b w:val="0"/>
          <w:i w:val="0"/>
          <w:sz w:val="24"/>
        </w:rPr>
        <w:t>后续改进沿三条路径展开：下行波动率管理优于总波动率管理（Wang and Yan, 2021）；Bongaerts et al.（2020）提出按极端波动状态调整敞口的条件波动率目标；Xu（2026）则给出实时改进的缩放方案。</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：上述研究均以可自由加杠杆为前提。本文考察 Ē=1（无杠杆）这一在零售投资者与"固收+"产品中极其常见、却长期被学术界忽视的约束。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近似看涨期权，但在均值回复的震荡市中系统性跑输买入持有，因为顺周期的再平衡产生"高买低卖"，即 whipsaw。1987年股灾则暴露了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回撤控制是组合保险的变体，保护对象从固定底线换成移动高水位线。文献与实务的共识是：它以牺牲部分平均收益为代价缩小回撤分母，因而应当用卡玛比率而非夏普比率评价；它在缓慢的熊市中表现优异，在 whipsaw 中伤害最大。高水位线只升不降，策略由此带上不对称性——每次创新高都抬高了下一次必须守住的门槛。</w:t>
      </w:r>
    </w:p>
    <w:p>
      <w:pPr>
        <w:spacing w:before="0" w:after="60" w:line="360" w:lineRule="auto"/>
        <w:ind w:firstLine="480"/>
      </w:pPr>
      <w:r>
        <w:rPr>
          <w:rFonts w:ascii="Times New Roman" w:hAnsi="Times New Roman" w:eastAsia="宋体"/>
          <w:b w:val="0"/>
          <w:i w:val="0"/>
          <w:sz w:val="24"/>
        </w:rPr>
        <w:t>本文关注的正是这一 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本文战术层使用两类信号：资产价格相对自身长期均线的位置（趋势状态），以及价格在其历史区间中的分位。二者在中国是否有效，是一个长期争议的本土议题：它决定本文的风险 overlay 究竟在"管理有价值的 alpha"，还是在"管理一串噪声"。进入理论模型之前，先厘清这一边界。</w:t>
      </w:r>
    </w:p>
    <w:p>
      <w:pPr>
        <w:spacing w:before="0" w:after="60" w:line="360" w:lineRule="auto"/>
        <w:ind w:firstLine="480"/>
      </w:pPr>
      <w:r>
        <w:rPr>
          <w:rFonts w:ascii="Times New Roman" w:hAnsi="Times New Roman" w:eastAsia="宋体"/>
          <w:b w:val="0"/>
          <w:i w:val="0"/>
          <w:sz w:val="24"/>
        </w:rPr>
        <w:t>横截面动量在中国基本不成立。最早的检验来自王永宏和赵学军（2001）：以深沪两市1993年以前上市的全部A股为样本，在1、3、6、9、12个月的形成期与持有期组合下，赢家与输家组合均未表现出收益惯性，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更系统的证据来自鲁臻和邹恒甫（2007），他们在 Hong and Stein（1999）模型基础上引入"政策市"特征，理论预测并经实证检验表明：中国股市反转效应强于惯性效应，除中期惯性与长期反转外还存在超短期惯性与短期反转，且小公司、高成交量股票的惯性更弱、更易发生反转。</w:t>
      </w:r>
    </w:p>
    <w:p>
      <w:pPr>
        <w:spacing w:before="0" w:after="60" w:line="360" w:lineRule="auto"/>
        <w:ind w:firstLine="480"/>
      </w:pPr>
      <w:r>
        <w:rPr>
          <w:rFonts w:ascii="Times New Roman" w:hAnsi="Times New Roman" w:eastAsia="宋体"/>
          <w:b w:val="0"/>
          <w:i w:val="0"/>
          <w:sz w:val="24"/>
        </w:rPr>
        <w:t>但动量并非完全不存在，问题出在频率上。迄今最精细的证据来自高秋明等（2014）：利用1994—2011年A股数据，月度频率上不存在显著的动量效应，但形成期2—4周、持有期1—3周时存在稳定的动量收益；规模、账面市值比和行业因素可解释约50%的动量收益；且动量效应在赢家与输家组合中具有不同的形成机理。这为长期争议提供了调和：不是中国市场没有趋势，而是月度及更低频的采样把趋势磨平了。</w:t>
      </w:r>
    </w:p>
    <w:p>
      <w:pPr>
        <w:spacing w:before="0" w:after="60" w:line="360" w:lineRule="auto"/>
        <w:ind w:firstLine="480"/>
      </w:pPr>
      <w:r>
        <w:rPr>
          <w:rFonts w:ascii="Times New Roman" w:hAnsi="Times New Roman" w:eastAsia="宋体"/>
          <w:b w:val="0"/>
          <w:i w:val="0"/>
          <w:sz w:val="24"/>
        </w:rPr>
        <w:t>个股动量在中国为何衰减，本土文献给出三条解释。交易制度是第一层约束：涨跌停与T+1使价格无法在单日内充分调整，动量信号被"锁"在涨跌停板上、次日集中释放，买入成本被动抬高。第二层来自投资者结构。赵学军和王永宏（2001）基于某大型营业部近万个投资者账户发现，中国投资者"售盈持亏"的处置效应比国外投资者更为严重；陆蓉等（2022）给出了更新的行为画像。其直接后果是盈利头寸被过早了结、亏损头寸被长期持有：前者打断上涨趋势，后者拖延下跌趋势，在个股层面同时削弱动量、强化反转。这与鲁臻和邹恒甫（2007）"反转强于惯性"的发现恰成微观基础与宏观表现的一对。第三层是高换手与短持有期，噪声交易占比高，低频采样下信号已被交易噪声淹没。</w:t>
      </w:r>
    </w:p>
    <w:p>
      <w:pPr>
        <w:spacing w:before="0" w:after="60" w:line="360" w:lineRule="auto"/>
        <w:ind w:firstLine="480"/>
      </w:pPr>
      <w:r>
        <w:rPr>
          <w:rFonts w:ascii="Times New Roman" w:hAnsi="Times New Roman" w:eastAsia="宋体"/>
          <w:b w:val="0"/>
          <w:i w:val="0"/>
          <w:sz w:val="24"/>
        </w:rPr>
        <w:t>上述证据对本文有三重含义。</w:t>
      </w:r>
    </w:p>
    <w:p>
      <w:pPr>
        <w:spacing w:before="0" w:after="60" w:line="360" w:lineRule="auto"/>
        <w:ind w:firstLine="480"/>
      </w:pPr>
      <w:r>
        <w:rPr>
          <w:rFonts w:ascii="Times New Roman" w:hAnsi="Times New Roman" w:eastAsia="宋体"/>
          <w:b w:val="0"/>
          <w:i w:val="0"/>
          <w:sz w:val="24"/>
        </w:rPr>
        <w:t>第一，本文不使用横截面动量。月度横截面动量在中国已被反复证明不显著，因此战术层只采用时间序列上的趋势状态与价格分位，不做个股或资产的横截面排序——这是对本土证据的回应，而非对海外文献的简单移植。</w:t>
      </w:r>
    </w:p>
    <w:p>
      <w:pPr>
        <w:spacing w:before="0" w:after="60" w:line="360" w:lineRule="auto"/>
        <w:ind w:firstLine="480"/>
      </w:pPr>
      <w:r>
        <w:rPr>
          <w:rFonts w:ascii="Times New Roman" w:hAnsi="Times New Roman" w:eastAsia="宋体"/>
          <w:b w:val="0"/>
          <w:i w:val="0"/>
          <w:sz w:val="24"/>
        </w:rPr>
        <w:t>这里还存在一处频率错配：高秋明等（2014）所识别的稳定动量位于"2—4周形成期 / 1—3周持有期"，而本文的趋势信号为200日均线（有效形成期约10个月）、调仓频率为月度，两者不在同一频段上。本土动量证据并不直接支持本文趋势信号的有效性，只支持"应回避横截面动量"这一消极结论。也正因如此，本文将趋势信号的有效性设为可证伪环节：第6.6节关闭全部战术信号后重跑，前沿分岔依然存在（末端衰减1.12pp）。</w:t>
      </w:r>
    </w:p>
    <w:p>
      <w:pPr>
        <w:spacing w:before="0" w:after="60" w:line="360" w:lineRule="auto"/>
        <w:ind w:firstLine="480"/>
      </w:pPr>
      <w:r>
        <w:rPr>
          <w:rFonts w:ascii="Times New Roman" w:hAnsi="Times New Roman" w:eastAsia="宋体"/>
          <w:b w:val="0"/>
          <w:i w:val="0"/>
          <w:sz w:val="24"/>
        </w:rPr>
        <w:t>第二，弱信号环境恰恰放大了本文所研究的问题。第5.1节显示，敞口实现率随目标波动上升从0.821降至0.461：按比例削减敞口等于按同一比例削减收益来源，却只能换来次比例的波动下降，当信号的夏普比率本就不高时尤其吃亏。趋势信号在中国是弱信号，而中国恰是典型的弱信号市场，也正是"双重去杠杆陷阱"危害最大的环境。</w:t>
      </w:r>
    </w:p>
    <w:p>
      <w:pPr>
        <w:spacing w:before="0" w:after="60" w:line="360" w:lineRule="auto"/>
        <w:ind w:firstLine="480"/>
      </w:pPr>
      <w:r>
        <w:rPr>
          <w:rFonts w:ascii="Times New Roman" w:hAnsi="Times New Roman" w:eastAsia="宋体"/>
          <w:b w:val="0"/>
          <w:i w:val="0"/>
          <w:sz w:val="24"/>
        </w:rPr>
        <w:t>第三，处置效应与回撤控制之间存在方向相反的隐性叠加。散户"售盈持亏"本身就是一种非正式的顺周期去杠杆：上涨时减仓，下跌时维持。规则型回撤控制则在下跌时强制减仓。受 Ē=1 约束且启用回撤控制的管理人，在上涨与下跌两端都被削减敞口，形成"两头受挤"。本土投资者结构由此放大而非缓解这一机制。</w:t>
      </w:r>
    </w:p>
    <w:p>
      <w:pPr>
        <w:spacing w:before="0" w:after="60" w:line="360" w:lineRule="auto"/>
        <w:ind w:firstLine="480"/>
      </w:pPr>
      <w:r>
        <w:rPr>
          <w:rFonts w:ascii="Times New Roman" w:hAnsi="Times New Roman" w:eastAsia="宋体"/>
          <w:b w:val="0"/>
          <w:i w:val="0"/>
          <w:sz w:val="24"/>
        </w:rPr>
        <w:t>还需限定证据的适用层级。本土动量证据主要针对个股横截面，本文资产池则为跨市场指数与ETF（A股红利、沪深300、中证500、港股、纳斯达克100、黄金），其时间序列趋势由宏观周期、资金面与跨市场估值差异驱动，与个股层面的处置效应机制并不相同。本土证据支持本文审慎设定战术信号的立场，但核心结论，即两层风控的负交互，并不依赖战术信号的有效性：第6.6节关闭全部战术信号后，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这一设定既有理论基础（风险-收益权衡），也符合经验事实：高波动期往往预示更高的绝对收益，但风险调整后的收益更差。</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。两层相互独立地作用，最终持仓为二者之积：</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引理与命题</w:t>
      </w:r>
    </w:p>
    <w:p>
      <w:pPr>
        <w:spacing w:before="0" w:after="60" w:line="360" w:lineRule="auto"/>
        <w:ind w:firstLine="480"/>
      </w:pPr>
      <w:r>
        <w:rPr>
          <w:rFonts w:ascii="Times New Roman" w:hAnsi="Times New Roman" w:eastAsia="宋体"/>
          <w:b w:val="0"/>
          <w:i w:val="0"/>
          <w:sz w:val="24"/>
        </w:rPr>
        <w:t>本节各项结果的性质并不相同，先作交代，以免误读各结果的强度。引理1 只是定义域约束的推论，其作用是确立"无杠杆下波动率目标是单向减仓工具"这一后文反复引用的基准事实，并不构成本文的原创理论贡献。命题1 的条件性更强，其前提（高波动期与深回撤期重合）取自经验而非模型，故单列为经验前提 A1。至于命题2，它给出的是内点最优出现的充分条件，属于比较静态命题而非存在性定理：该条件能否成立无法由模型先验地保证，须诉诸实证与模拟，模型本身不足以裁决。也因此，本文在理论上的着力点不在新定理，而在两件事：把两层风控的复合削减写成可检验的分解恒等式（命题1），并把"内点最优何时出现"表述为显式的经验条件（A2、A3），使其能够被数据证伪——第6.7节恰好演示了这种证伪如何发生。</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单调不减且为凹函数（常数函数与线性函数逐点取最小值保持单调性与凹性），故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关于 σ*</w:t>
      </w:r>
      <w:r>
        <w:rPr>
          <w:rFonts w:ascii="Times New Roman" w:hAnsi="Times New Roman" w:eastAsia="宋体"/>
          <w:b w:val="0"/>
          <w:i w:val="0"/>
          <w:sz w:val="24"/>
        </w:rPr>
        <w:t xml:space="preserve"> 单调非降且严格扩大。∎</w:t>
      </w:r>
    </w:p>
    <w:p>
      <w:pPr>
        <w:spacing w:before="0" w:after="60" w:line="360" w:lineRule="auto"/>
        <w:ind w:firstLine="480"/>
      </w:pPr>
      <w:r>
        <w:rPr>
          <w:rFonts w:ascii="Times New Roman" w:hAnsi="Times New Roman" w:eastAsia="宋体"/>
          <w:b w:val="0"/>
          <w:i w:val="0"/>
          <w:sz w:val="24"/>
        </w:rPr>
        <w:t>引理1 的经济含义是直接的：无杠杆约束下，波动率目标退化为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，只能削峰，不能填谷。Moreira-Muir 框架中"低波动加杠杆"这一收益来源，在此处并不存在。</w:t>
      </w:r>
    </w:p>
    <w:p>
      <w:pPr>
        <w:spacing w:before="0" w:after="60" w:line="360" w:lineRule="auto"/>
        <w:ind w:firstLine="480"/>
      </w:pPr>
      <w:r>
        <w:rPr>
          <w:rFonts w:ascii="Times New Roman" w:hAnsi="Times New Roman" w:eastAsia="宋体"/>
          <w:b/>
          <w:i w:val="0"/>
          <w:sz w:val="24"/>
        </w:rPr>
        <w:t>经验前提 A1（状态重合）。</w:t>
      </w:r>
      <w:r>
        <w:rPr>
          <w:rFonts w:ascii="Times New Roman" w:hAnsi="Times New Roman" w:eastAsia="宋体"/>
          <w:b w:val="0"/>
          <w:i w:val="0"/>
          <w:sz w:val="24"/>
        </w:rPr>
        <w:t xml:space="preserve"> 条件波动率 σ̂_t 与当期的水下深度 −D_t 正相关，即 corr(σ̂_t, −D_t) &gt; 0。</w:t>
      </w:r>
    </w:p>
    <w:p>
      <w:pPr>
        <w:spacing w:before="0" w:after="60" w:line="360" w:lineRule="auto"/>
        <w:ind w:firstLine="480"/>
      </w:pPr>
      <w:r>
        <w:rPr>
          <w:rFonts w:ascii="Times New Roman" w:hAnsi="Times New Roman" w:eastAsia="宋体"/>
          <w:b w:val="0"/>
          <w:i w:val="0"/>
          <w:sz w:val="24"/>
        </w:rPr>
        <w:t>A1 并非由模型设定推出，而是关于市场动态的经验假设：波动率上升期通常伴随净值下跌。本文在实证中直接估计该相关性加以检验，第5.1节的双重减仓占比即为其离散对应；数值模拟则通过"高波动状态下收益分布左移"的设定予以保证。</w:t>
      </w:r>
    </w:p>
    <w:p>
      <w:pPr>
        <w:spacing w:before="0" w:after="60" w:line="360" w:lineRule="auto"/>
        <w:ind w:firstLine="480"/>
      </w:pPr>
      <w:r>
        <w:rPr>
          <w:rFonts w:ascii="Times New Roman" w:hAnsi="Times New Roman" w:eastAsia="宋体"/>
          <w:b/>
          <w:i w:val="0"/>
          <w:sz w:val="24"/>
        </w:rPr>
        <w:t>命题1（乘性叠加的过度削减）。</w:t>
      </w:r>
      <w:r>
        <w:rPr>
          <w:rFonts w:ascii="Times New Roman" w:hAnsi="Times New Roman" w:eastAsia="宋体"/>
          <w:b w:val="0"/>
          <w:i w:val="0"/>
          <w:sz w:val="24"/>
        </w:rPr>
        <w:t xml:space="preserve"> 记两层各自的削减比例为 c^V_t = 1 − e^V_t、c^D_t = 1 − φ_t，则有效敞口相对满仓的总削减为：</w:t>
      </w:r>
    </w:p>
    <w:p>
      <w:pPr>
        <w:spacing w:before="160" w:after="160" w:line="240" w:lineRule="auto"/>
        <w:jc w:val="center"/>
      </w:pPr>
      <m:oMathPara>
        <m:box>
          <m:e>
            <m:r>
              <m:rPr>
                <m:sty m:val="p"/>
              </m:rPr>
              <m:t>1</m:t>
            </m:r>
            <m:r>
              <m:rPr>
                <m:sty m:val="p"/>
              </m:rPr>
              <m:t>−</m:t>
            </m:r>
            <m:sSub>
              <m:e>
                <m:r>
                  <m:rPr>
                    <m:sty m:val="i"/>
                  </m:rPr>
                  <m:t>e</m:t>
                </m:r>
              </m:e>
              <m:sub>
                <m:r>
                  <m:rPr>
                    <m:sty m:val="i"/>
                  </m:rPr>
                  <m:t>t</m:t>
                </m:r>
              </m:sub>
            </m:sSub>
            <m:r>
              <m:rPr>
                <m:sty m:val="p"/>
              </m:rPr>
              <m:t>=</m:t>
            </m:r>
            <m:r>
              <m:rPr>
                <m:sty m:val="p"/>
              </m:rPr>
              <m:t>1</m:t>
            </m:r>
            <m:r>
              <m:rPr>
                <m:sty m:val="p"/>
              </m:rPr>
              <m:t>−</m:t>
            </m:r>
            <m:r>
              <m:rPr>
                <m:sty m:val="p"/>
              </m:rPr>
              <m:t>(</m:t>
            </m:r>
            <m:r>
              <m:rPr>
                <m:sty m:val="p"/>
              </m:rPr>
              <m:t>1</m:t>
            </m:r>
            <m:r>
              <m:rPr>
                <m:sty m:val="p"/>
              </m:rPr>
              <m:t>−</m:t>
            </m:r>
            <m:sSubSup>
              <m:e>
                <m:r>
                  <m:rPr>
                    <m:sty m:val="i"/>
                  </m:rPr>
                  <m:t>c</m:t>
                </m:r>
              </m:e>
              <m:sub>
                <m:r>
                  <m:rPr>
                    <m:sty m:val="i"/>
                  </m:rPr>
                  <m:t>t</m:t>
                </m:r>
              </m:sub>
              <m:sup>
                <m:r>
                  <m:rPr>
                    <m:sty m:val="i"/>
                  </m:rPr>
                  <m:t>V</m:t>
                </m:r>
              </m:sup>
            </m:sSubSup>
            <m:r>
              <m:rPr>
                <m:sty m:val="p"/>
              </m:rPr>
              <m:t>)</m:t>
            </m:r>
            <m:r>
              <m:rPr>
                <m:sty m:val="p"/>
              </m:rPr>
              <m:t>(</m:t>
            </m:r>
            <m:r>
              <m:rPr>
                <m:sty m:val="p"/>
              </m:rPr>
              <m:t>1</m:t>
            </m:r>
            <m:r>
              <m:rPr>
                <m:sty m:val="p"/>
              </m:rPr>
              <m:t>−</m:t>
            </m:r>
            <m:sSubSup>
              <m:e>
                <m:r>
                  <m:rPr>
                    <m:sty m:val="i"/>
                  </m:rPr>
                  <m:t>c</m:t>
                </m:r>
              </m:e>
              <m:sub>
                <m:r>
                  <m:rPr>
                    <m:sty m:val="i"/>
                  </m:rPr>
                  <m:t>t</m:t>
                </m:r>
              </m:sub>
              <m:sup>
                <m:r>
                  <m:rPr>
                    <m:sty m:val="i"/>
                  </m:rPr>
                  <m:t>D</m:t>
                </m:r>
              </m:sup>
            </m:sSubSup>
            <m:r>
              <m:rPr>
                <m:sty m:val="p"/>
              </m:rPr>
              <m:t>)</m:t>
            </m:r>
            <m:r>
              <m:rPr>
                <m:sty m:val="p"/>
              </m:rPr>
              <m:t>=</m:t>
            </m:r>
            <m:sSubSup>
              <m:e>
                <m:r>
                  <m:rPr>
                    <m:sty m:val="i"/>
                  </m:rPr>
                  <m:t>c</m:t>
                </m:r>
              </m:e>
              <m:sub>
                <m:r>
                  <m:rPr>
                    <m:sty m:val="i"/>
                  </m:rPr>
                  <m:t>t</m:t>
                </m:r>
              </m:sub>
              <m:sup>
                <m:r>
                  <m:rPr>
                    <m:sty m:val="i"/>
                  </m:rPr>
                  <m:t>V</m:t>
                </m:r>
              </m:sup>
            </m:sSubSup>
            <m:r>
              <m:rPr>
                <m:sty m:val="p"/>
              </m:rPr>
              <m:t>+</m:t>
            </m:r>
            <m:sSubSup>
              <m:e>
                <m:r>
                  <m:rPr>
                    <m:sty m:val="i"/>
                  </m:rPr>
                  <m:t>c</m:t>
                </m:r>
              </m:e>
              <m:sub>
                <m:r>
                  <m:rPr>
                    <m:sty m:val="i"/>
                  </m:rPr>
                  <m:t>t</m:t>
                </m:r>
              </m:sub>
              <m:sup>
                <m:r>
                  <m:rPr>
                    <m:sty m:val="i"/>
                  </m:rPr>
                  <m:t>D</m:t>
                </m:r>
              </m:sup>
            </m:sSubSup>
            <m:r>
              <m:rPr>
                <m:sty m:val="p"/>
              </m:rPr>
              <m:t>−</m:t>
            </m:r>
            <m:sSubSup>
              <m:e>
                <m:r>
                  <m:rPr>
                    <m:sty m:val="i"/>
                  </m:rPr>
                  <m:t>c</m:t>
                </m:r>
              </m:e>
              <m:sub>
                <m:r>
                  <m:rPr>
                    <m:sty m:val="i"/>
                  </m:rPr>
                  <m:t>t</m:t>
                </m:r>
              </m:sub>
              <m:sup>
                <m:r>
                  <m:rPr>
                    <m:sty m:val="i"/>
                  </m:rPr>
                  <m:t>V</m:t>
                </m:r>
              </m:sup>
            </m:sSubSup>
            <m:sSubSup>
              <m:e>
                <m:r>
                  <m:rPr>
                    <m:sty m:val="i"/>
                  </m:rPr>
                  <m:t>c</m:t>
                </m:r>
              </m:e>
              <m:sub>
                <m:r>
                  <m:rPr>
                    <m:sty m:val="i"/>
                  </m:rPr>
                  <m:t>t</m:t>
                </m:r>
              </m:sub>
              <m:sup>
                <m:r>
                  <m:rPr>
                    <m:sty m:val="i"/>
                  </m:rPr>
                  <m:t>D</m:t>
                </m:r>
              </m:sup>
            </m:sSubSup>
          </m:e>
        </m:box>
      </m:oMathPara>
    </w:p>
    <w:p>
      <w:pPr>
        <w:spacing w:before="0" w:after="60" w:line="360" w:lineRule="auto"/>
        <w:ind w:firstLine="480"/>
      </w:pPr>
      <w:r>
        <w:rPr>
          <w:rFonts w:ascii="Times New Roman" w:hAnsi="Times New Roman" w:eastAsia="宋体"/>
          <w:b w:val="0"/>
          <w:i w:val="0"/>
          <w:sz w:val="24"/>
        </w:rPr>
        <w:t>由此得到两个结论：（i）对任意 t，总削减严格大于任一单层的削减（当两层削减均为正时），即 1 − e_t &gt; max(c^V_t, c^D_t)；（ii）在前提 A1 下，c^V 与 c^D 在同一时期同时取大值，故 corr(c^V, c^D) &gt; 0，且总削减中"重复计入"的部分 c^V·c^D 亦在该时期达到最大。</w:t>
      </w:r>
    </w:p>
    <w:p>
      <w:pPr>
        <w:spacing w:before="0" w:after="60" w:line="360" w:lineRule="auto"/>
        <w:ind w:firstLine="480"/>
      </w:pPr>
      <w:r>
        <w:rPr>
          <w:rFonts w:ascii="Times New Roman" w:hAnsi="Times New Roman" w:eastAsia="宋体"/>
          <w:b w:val="0"/>
          <w:i w:val="0"/>
          <w:sz w:val="24"/>
        </w:rPr>
        <w:t>命题1 的预测是</w:t>
      </w:r>
      <w:r>
        <w:rPr>
          <w:rFonts w:ascii="Times New Roman" w:hAnsi="Times New Roman" w:eastAsia="宋体"/>
          <w:b/>
          <w:i w:val="0"/>
          <w:sz w:val="24"/>
        </w:rPr>
        <w:t>状态依存的</w:t>
      </w:r>
      <w:r>
        <w:rPr>
          <w:rFonts w:ascii="Times New Roman" w:hAnsi="Times New Roman" w:eastAsia="宋体"/>
          <w:b w:val="0"/>
          <w:i w:val="0"/>
          <w:sz w:val="24"/>
        </w:rPr>
        <w:t>，不能读作"平均敞口低于两层各自均值之积"。由于两层同向变动，E[e^V·φ] 反而可能高于 E[e^V]·E[φ]。它的预测落在状态而非均值上：在需要削减的状态上，削减被重复施加了两次。因此对该命题的检验必须是状态条件的，无条件均值不构成有效证据（见第5.1节）。</w:t>
      </w:r>
    </w:p>
    <w:p>
      <w:pPr>
        <w:spacing w:before="0" w:after="60" w:line="360" w:lineRule="auto"/>
        <w:ind w:firstLine="480"/>
      </w:pPr>
      <w:r>
        <w:rPr>
          <w:rFonts w:ascii="Times New Roman" w:hAnsi="Times New Roman" w:eastAsia="宋体"/>
          <w:b/>
          <w:i w:val="0"/>
          <w:sz w:val="24"/>
        </w:rPr>
        <w:t>命题2（内点最优的充分条件）。</w:t>
      </w:r>
      <w:r>
        <w:rPr>
          <w:rFonts w:ascii="Times New Roman" w:hAnsi="Times New Roman" w:eastAsia="宋体"/>
          <w:b w:val="0"/>
          <w:i w:val="0"/>
          <w:sz w:val="24"/>
        </w:rPr>
        <w:t xml:space="preserve"> 将组合期望收益分解为：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r>
                          <m:rPr>
                            <m:sty m:val="i"/>
                          </m:rPr>
                          <m:t>T</m:t>
                        </m:r>
                        <m:r>
                          <m:rPr>
                            <m:sty m:val="p"/>
                          </m:rPr>
                          <m:t>(</m:t>
                        </m:r>
                        <m:sSup>
                          <m:e>
                            <m:r>
                              <m:rPr>
                                <m:sty m:val="i"/>
                              </m:rPr>
                              <m:t>σ</m:t>
                            </m:r>
                          </m:e>
                          <m:sup>
                            <m:r>
                              <m:rPr>
                                <m:sty m:val="p"/>
                              </m:rPr>
                              <m:t>*</m:t>
                            </m:r>
                          </m:sup>
                        </m:sSup>
                        <m:r>
                          <m:rPr>
                            <m:sty m:val="p"/>
                          </m:rPr>
                          <m:t>)</m:t>
                        </m:r>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对 σ* 求导：</w:t>
      </w:r>
    </w:p>
    <w:p>
      <w:pPr>
        <w:spacing w:before="160" w:after="160" w:line="240" w:lineRule="auto"/>
        <w:jc w:val="center"/>
      </w:pPr>
      <m:oMathPara>
        <m:box>
          <m:e>
            <m:f>
              <m:num>
                <m:box>
                  <m:e>
                    <m:r>
                      <m:rPr>
                        <m:sty m:val="i"/>
                      </m:rPr>
                      <m:t>d</m:t>
                    </m:r>
                    <m:r>
                      <m:rPr>
                        <m:sty m:val="i"/>
                      </m:rPr>
                      <m:t>R</m:t>
                    </m:r>
                  </m:e>
                </m:box>
              </m:num>
              <m:den>
                <m:box>
                  <m:e>
                    <m:r>
                      <m:rPr>
                        <m:sty m:val="i"/>
                      </m:rPr>
                      <m:t>d</m:t>
                    </m:r>
                    <m:sSup>
                      <m:e>
                        <m:r>
                          <m:rPr>
                            <m:sty m:val="i"/>
                          </m:rPr>
                          <m:t>σ</m:t>
                        </m:r>
                      </m:e>
                      <m:sup>
                        <m:r>
                          <m:rPr>
                            <m:sty m:val="p"/>
                          </m:rPr>
                          <m:t>*</m:t>
                        </m:r>
                      </m:sup>
                    </m:sSup>
                  </m:e>
                </m:box>
              </m:den>
            </m:f>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r>
              <m:rPr>
                <m:sty m:val="p"/>
              </m:rPr>
              <m:t>·</m:t>
            </m:r>
            <m:sSup>
              <m:e>
                <m:groupChr>
                  <m:groupChrPr>
                    <m:chr m:val="¯"/>
                    <m:pos m:val="top"/>
                  </m:groupChrPr>
                  <m:e>
                    <m:box>
                      <m:e>
                        <m:r>
                          <m:rPr>
                            <m:sty m:val="i"/>
                          </m:rPr>
                          <m:t>e</m:t>
                        </m:r>
                      </m:e>
                    </m:box>
                  </m:e>
                </m:groupChr>
              </m:e>
              <m:sup>
                <m:r>
                  <m:rPr>
                    <m:sty m:val="i"/>
                  </m:rPr>
                  <m:t>′</m:t>
                </m:r>
              </m:sup>
            </m:sSup>
            <m:r>
              <m:rPr>
                <m:sty m:val="p"/>
              </m:rPr>
              <m:t>(</m:t>
            </m:r>
            <m:sSup>
              <m:e>
                <m:r>
                  <m:rPr>
                    <m:sty m:val="i"/>
                  </m:rPr>
                  <m:t>σ</m:t>
                </m:r>
              </m:e>
              <m:sup>
                <m:r>
                  <m:rPr>
                    <m:sty m:val="p"/>
                  </m:rPr>
                  <m:t>*</m:t>
                </m:r>
              </m:sup>
            </m:sSup>
            <m:r>
              <m:rPr>
                <m:sty m:val="p"/>
              </m:rPr>
              <m:t>)</m:t>
            </m:r>
            <m:r>
              <m:rPr>
                <m:sty m:val="p"/>
              </m:rPr>
              <m:t>+</m:t>
            </m:r>
            <m:sSup>
              <m:e>
                <m:r>
                  <m:rPr>
                    <m:sty m:val="i"/>
                  </m:rPr>
                  <m:t>T</m:t>
                </m:r>
              </m:e>
              <m:sup>
                <m:r>
                  <m:rPr>
                    <m:sty m:val="i"/>
                  </m:rPr>
                  <m:t>′</m:t>
                </m:r>
              </m:sup>
            </m:sSup>
            <m:r>
              <m:rPr>
                <m:sty m:val="p"/>
              </m:rPr>
              <m:t>(</m:t>
            </m:r>
            <m:sSup>
              <m:e>
                <m:r>
                  <m:rPr>
                    <m:sty m:val="i"/>
                  </m:rPr>
                  <m:t>σ</m:t>
                </m:r>
              </m:e>
              <m:sup>
                <m:r>
                  <m:rPr>
                    <m:sty m:val="p"/>
                  </m:rPr>
                  <m:t>*</m:t>
                </m:r>
              </m:sup>
            </m:sSup>
            <m:r>
              <m:rPr>
                <m:sty m:val="p"/>
              </m:rPr>
              <m:t>)</m:t>
            </m:r>
          </m:e>
        </m:box>
      </m:oMathPara>
    </w:p>
    <w:p>
      <w:pPr>
        <w:spacing w:before="0" w:after="60" w:line="360" w:lineRule="auto"/>
        <w:ind w:firstLine="480"/>
      </w:pPr>
      <w:r>
        <w:rPr>
          <w:rFonts w:ascii="Times New Roman" w:hAnsi="Times New Roman" w:eastAsia="宋体"/>
          <w:b w:val="0"/>
          <w:i w:val="0"/>
          <w:sz w:val="24"/>
        </w:rPr>
        <w:t>其中 r̄_ref &gt; 0 为参照组合的平均超额收益。在 R(σ</w:t>
      </w:r>
      <w:r>
        <w:rPr>
          <w:rFonts w:ascii="Times New Roman" w:hAnsi="Times New Roman" w:eastAsia="宋体"/>
          <w:b w:val="0"/>
          <w:i w:val="0"/>
          <w:sz w:val="24"/>
        </w:rPr>
        <w:t>*) 于相关区间拟凹的前提下，R(σ*</w:t>
      </w:r>
      <w:r>
        <w:rPr>
          <w:rFonts w:ascii="Times New Roman" w:hAnsi="Times New Roman" w:eastAsia="宋体"/>
          <w:b w:val="0"/>
          <w:i w:val="0"/>
          <w:sz w:val="24"/>
        </w:rPr>
        <w:t>) 存在内点最大值的</w:t>
      </w:r>
      <w:r>
        <w:rPr>
          <w:rFonts w:ascii="Times New Roman" w:hAnsi="Times New Roman" w:eastAsia="宋体"/>
          <w:b/>
          <w:i w:val="0"/>
          <w:sz w:val="24"/>
        </w:rPr>
        <w:t>充分条件</w:t>
      </w:r>
      <w:r>
        <w:rPr>
          <w:rFonts w:ascii="Times New Roman" w:hAnsi="Times New Roman" w:eastAsia="宋体"/>
          <w:b w:val="0"/>
          <w:i w:val="0"/>
          <w:sz w:val="24"/>
        </w:rPr>
        <w:t>为：存在 σ̂</w:t>
      </w:r>
      <w:r>
        <w:rPr>
          <w:rFonts w:ascii="Times New Roman" w:hAnsi="Times New Roman" w:eastAsia="宋体"/>
          <w:b w:val="0"/>
          <w:i w:val="0"/>
          <w:sz w:val="24"/>
        </w:rPr>
        <w:t>*，使得当 σ*</w:t>
      </w:r>
      <w:r>
        <w:rPr>
          <w:rFonts w:ascii="Times New Roman" w:hAnsi="Times New Roman" w:eastAsia="宋体"/>
          <w:b w:val="0"/>
          <w:i w:val="0"/>
          <w:sz w:val="24"/>
        </w:rPr>
        <w:t xml:space="preserve"> &lt; σ̂</w:t>
      </w:r>
      <w:r>
        <w:rPr>
          <w:rFonts w:ascii="Times New Roman" w:hAnsi="Times New Roman" w:eastAsia="宋体"/>
          <w:b w:val="0"/>
          <w:i w:val="0"/>
          <w:sz w:val="24"/>
        </w:rPr>
        <w:t>* 时 dR/dσ*</w:t>
      </w:r>
      <w:r>
        <w:rPr>
          <w:rFonts w:ascii="Times New Roman" w:hAnsi="Times New Roman" w:eastAsia="宋体"/>
          <w:b w:val="0"/>
          <w:i w:val="0"/>
          <w:sz w:val="24"/>
        </w:rPr>
        <w:t xml:space="preserve"> &gt; 0，且当 σ</w:t>
      </w:r>
      <w:r>
        <w:rPr>
          <w:rFonts w:ascii="Times New Roman" w:hAnsi="Times New Roman" w:eastAsia="宋体"/>
          <w:b w:val="0"/>
          <w:i w:val="0"/>
          <w:sz w:val="24"/>
        </w:rPr>
        <w:t>* &gt; σ̂*</w:t>
      </w:r>
      <w:r>
        <w:rPr>
          <w:rFonts w:ascii="Times New Roman" w:hAnsi="Times New Roman" w:eastAsia="宋体"/>
          <w:b w:val="0"/>
          <w:i w:val="0"/>
          <w:sz w:val="24"/>
        </w:rPr>
        <w:t xml:space="preserve"> 时 dR/dσ* &lt; 0。本文给出使该条件成立的两项经验要求：</w:t>
      </w:r>
    </w:p>
    <w:p>
      <w:pPr>
        <w:spacing w:before="40" w:after="40" w:line="336" w:lineRule="auto"/>
        <w:ind w:left="480"/>
      </w:pPr>
      <w:r>
        <w:rPr>
          <w:rFonts w:ascii="Times New Roman" w:hAnsi="Times New Roman" w:eastAsia="宋体"/>
          <w:b/>
          <w:i w:val="0"/>
          <w:sz w:val="24"/>
        </w:rPr>
        <w:t>A2（敞口饱和）</w:t>
      </w:r>
      <w:r>
        <w:rPr>
          <w:rFonts w:ascii="Times New Roman" w:hAnsi="Times New Roman" w:eastAsia="宋体"/>
          <w:b w:val="0"/>
          <w:i w:val="0"/>
          <w:sz w:val="24"/>
        </w:rPr>
        <w:t>：ē'(σ</w:t>
      </w:r>
      <w:r>
        <w:rPr>
          <w:rFonts w:ascii="Times New Roman" w:hAnsi="Times New Roman" w:eastAsia="宋体"/>
          <w:b w:val="0"/>
          <w:i w:val="0"/>
          <w:sz w:val="24"/>
        </w:rPr>
        <w:t>*) 在 σ*</w:t>
      </w:r>
      <w:r>
        <w:rPr>
          <w:rFonts w:ascii="Times New Roman" w:hAnsi="Times New Roman" w:eastAsia="宋体"/>
          <w:b w:val="0"/>
          <w:i w:val="0"/>
          <w:sz w:val="24"/>
        </w:rPr>
        <w:t xml:space="preserve"> 较大时趋于零，即平均有效敞口随目标波动的上升而饱和。其机制来自引理1（截断）与命题1（乘性削减）的叠加。实证中 ē 从0.318（σ</w:t>
      </w:r>
      <w:r>
        <w:rPr>
          <w:rFonts w:ascii="Times New Roman" w:hAnsi="Times New Roman" w:eastAsia="宋体"/>
          <w:b w:val="0"/>
          <w:i w:val="0"/>
          <w:sz w:val="24"/>
        </w:rPr>
        <w:t>*=5.5%）仅升至0.340（σ*</w:t>
      </w:r>
      <w:r>
        <w:rPr>
          <w:rFonts w:ascii="Times New Roman" w:hAnsi="Times New Roman" w:eastAsia="宋体"/>
          <w:b w:val="0"/>
          <w:i w:val="0"/>
          <w:sz w:val="24"/>
        </w:rPr>
        <w:t>=12%），而同期的目标敞口从0.444升至0.852。</w:t>
      </w:r>
    </w:p>
    <w:p>
      <w:pPr>
        <w:spacing w:before="40" w:after="40" w:line="336" w:lineRule="auto"/>
        <w:ind w:left="480"/>
      </w:pPr>
      <w:r>
        <w:rPr>
          <w:rFonts w:ascii="Times New Roman" w:hAnsi="Times New Roman" w:eastAsia="宋体"/>
          <w:b/>
          <w:i w:val="0"/>
          <w:sz w:val="24"/>
        </w:rPr>
        <w:t>A3（择时衰减）</w:t>
      </w:r>
      <w:r>
        <w:rPr>
          <w:rFonts w:ascii="Times New Roman" w:hAnsi="Times New Roman" w:eastAsia="宋体"/>
          <w:b w:val="0"/>
          <w:i w:val="0"/>
          <w:sz w:val="24"/>
        </w:rPr>
        <w:t>：T'(σ</w:t>
      </w:r>
      <w:r>
        <w:rPr>
          <w:rFonts w:ascii="Times New Roman" w:hAnsi="Times New Roman" w:eastAsia="宋体"/>
          <w:b w:val="0"/>
          <w:i w:val="0"/>
          <w:sz w:val="24"/>
        </w:rPr>
        <w:t>*) &lt; 0，即回撤控制的机械削减对趋势信号完整性的破坏，随 σ*</w:t>
      </w:r>
      <w:r>
        <w:rPr>
          <w:rFonts w:ascii="Times New Roman" w:hAnsi="Times New Roman" w:eastAsia="宋体"/>
          <w:b w:val="0"/>
          <w:i w:val="0"/>
          <w:sz w:val="24"/>
        </w:rPr>
        <w:t xml:space="preserve"> 上升而加剧。</w:t>
      </w:r>
    </w:p>
    <w:p>
      <w:pPr>
        <w:spacing w:before="0" w:after="60" w:line="360" w:lineRule="auto"/>
        <w:ind w:firstLine="480"/>
      </w:pPr>
      <w:r>
        <w:rPr>
          <w:rFonts w:ascii="Times New Roman" w:hAnsi="Times New Roman" w:eastAsia="宋体"/>
          <w:b w:val="0"/>
          <w:i w:val="0"/>
          <w:sz w:val="24"/>
        </w:rPr>
        <w:t>当 σ</w:t>
      </w:r>
      <w:r>
        <w:rPr>
          <w:rFonts w:ascii="Times New Roman" w:hAnsi="Times New Roman" w:eastAsia="宋体"/>
          <w:b w:val="0"/>
          <w:i w:val="0"/>
          <w:sz w:val="24"/>
        </w:rPr>
        <w:t>* 较小时，回撤控制几乎不触发，ē'(σ*</w:t>
      </w:r>
      <w:r>
        <w:rPr>
          <w:rFonts w:ascii="Times New Roman" w:hAnsi="Times New Roman" w:eastAsia="宋体"/>
          <w:b w:val="0"/>
          <w:i w:val="0"/>
          <w:sz w:val="24"/>
        </w:rPr>
        <w:t>) ≈ 1/σ̂ &gt; 0 且 T' 可忽略，故 dR/dσ</w:t>
      </w:r>
      <w:r>
        <w:rPr>
          <w:rFonts w:ascii="Times New Roman" w:hAnsi="Times New Roman" w:eastAsia="宋体"/>
          <w:b w:val="0"/>
          <w:i w:val="0"/>
          <w:sz w:val="24"/>
        </w:rPr>
        <w:t>* &gt; 0；当 σ*</w:t>
      </w:r>
      <w:r>
        <w:rPr>
          <w:rFonts w:ascii="Times New Roman" w:hAnsi="Times New Roman" w:eastAsia="宋体"/>
          <w:b w:val="0"/>
          <w:i w:val="0"/>
          <w:sz w:val="24"/>
        </w:rPr>
        <w:t xml:space="preserve"> 足够大时，A2 使第一项趋于零，A3 使第二项为负，故 dR/dσ* &lt; 0。</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：A2 与 A3 是否成立取决于资产池的波动结构、回撤阈值的宽严与信号的性质，无法先验保证；第5.1、5.2与5.4节以实证和模拟检验之，第6.7节的阈值扫描则显示，当阈值放宽至 A2 失效时，前沿恢复单调。</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的触发概率与削减比例。形式地，令 e^V(Ē) = min(σ*/σ̂, Ē)，则有效敞口 e(Ē) = e^V(Ē)·φ，其中 φ 不依赖 Ē。因此放松杠杆约束不能消除内点最优，只能在一定程度上缓解（实证中末端衰减从0.67pp降至0.14pp）。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：σ</w:t>
      </w:r>
      <w:r>
        <w:rPr>
          <w:rFonts w:ascii="Times New Roman" w:hAnsi="Times New Roman" w:eastAsia="宋体"/>
          <w:b w:val="0"/>
          <w:i w:val="0"/>
          <w:sz w:val="24"/>
        </w:rPr>
        <w:t>* × DC 的交互系数为负，且其绝对值接近 σ*</w:t>
      </w:r>
      <w:r>
        <w:rPr>
          <w:rFonts w:ascii="Times New Roman" w:hAnsi="Times New Roman" w:eastAsia="宋体"/>
          <w:b w:val="0"/>
          <w:i w:val="0"/>
          <w:sz w:val="24"/>
        </w:rPr>
        <w:t xml:space="preserve"> 主效应系数（本文以描述性方式估计，见4.3节关于推断口径的说明）。</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H4（机制：敞口压制，而非时点错误）</w:t>
      </w:r>
      <w:r>
        <w:rPr>
          <w:rFonts w:ascii="Times New Roman" w:hAnsi="Times New Roman" w:eastAsia="宋体"/>
          <w:b w:val="0"/>
          <w:i w:val="0"/>
          <w:sz w:val="24"/>
        </w:rPr>
        <w:t>：以未施加风控的参照组合作状态控制后，重度减仓期之后的短中期窗口（20—120个交易日）内，市场前瞻收益</w:t>
      </w:r>
      <w:r>
        <w:rPr>
          <w:rFonts w:ascii="Times New Roman" w:hAnsi="Times New Roman" w:eastAsia="宋体"/>
          <w:b/>
          <w:i w:val="0"/>
          <w:sz w:val="24"/>
        </w:rPr>
        <w:t>低于</w:t>
      </w:r>
      <w:r>
        <w:rPr>
          <w:rFonts w:ascii="Times New Roman" w:hAnsi="Times New Roman" w:eastAsia="宋体"/>
          <w:b w:val="0"/>
          <w:i w:val="0"/>
          <w:sz w:val="24"/>
        </w:rPr>
        <w:t>未减仓期；因此收益损失不来自"在错误时点减仓"，而来自敞口被压制后的复利损失与棘轮效应。</w:t>
      </w:r>
      <w:r>
        <w:rPr>
          <w:rFonts w:ascii="Times New Roman" w:hAnsi="Times New Roman" w:eastAsia="宋体"/>
          <w:b w:val="0"/>
          <w:i w:val="0"/>
          <w:sz w:val="24"/>
        </w:rPr>
        <w:t>*证伪条件*</w:t>
      </w:r>
      <w:r>
        <w:rPr>
          <w:rFonts w:ascii="Times New Roman" w:hAnsi="Times New Roman" w:eastAsia="宋体"/>
          <w:b w:val="0"/>
          <w:i w:val="0"/>
          <w:sz w:val="24"/>
        </w:rPr>
        <w:t>：若重度减仓之后的参照组合前瞻收益在各窗口均不低于未减仓期，则"时点错误"解释成立，本假说不成立。</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40" w:after="40" w:line="336" w:lineRule="auto"/>
        <w:ind w:left="480"/>
      </w:pPr>
      <w:r>
        <w:rPr>
          <w:rFonts w:ascii="Times New Roman" w:hAnsi="Times New Roman" w:eastAsia="宋体"/>
          <w:b/>
          <w:i w:val="0"/>
          <w:sz w:val="24"/>
        </w:rPr>
        <w:t>H6（条件性）</w:t>
      </w:r>
      <w:r>
        <w:rPr>
          <w:rFonts w:ascii="Times New Roman" w:hAnsi="Times New Roman" w:eastAsia="宋体"/>
          <w:b w:val="0"/>
          <w:i w:val="0"/>
          <w:sz w:val="24"/>
        </w:rPr>
        <w:t>：内点最优的出现依赖回撤阈值的严格程度；当阈值放宽到使有效敞口随 σ* 持续增长（A2 失效）时，前沿恢复单调递增。</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的日频行情，样本区间为2013年8月1日至2026年10月20日（共3210个交易日，13.2年）。起点由可得性决定：纳指ETF（2013-05-15上市）与黄金ETF（2013-07-29上市）自此才同时可得，提前起点会使多资产池不完整。</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w:t>
      </w:r>
    </w:p>
    <w:p>
      <w:pPr>
        <w:spacing w:before="0" w:after="60" w:line="360" w:lineRule="auto"/>
        <w:ind w:firstLine="480"/>
      </w:pPr>
      <w:r>
        <w:rPr>
          <w:rFonts w:ascii="Times New Roman" w:hAnsi="Times New Roman" w:eastAsia="宋体"/>
          <w:b w:val="0"/>
          <w:i w:val="0"/>
          <w:sz w:val="24"/>
        </w:rPr>
        <w:t>| 资产 | 代码 | 起始日 | 年化% | 波动% | 夏普 | 最大回撤%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红利ETF | 510880 | 2013-08 | 9.99 | 20.15 | 0.50 | −46.54 |</w:t>
      </w:r>
    </w:p>
    <w:p>
      <w:pPr>
        <w:spacing w:before="0" w:after="60" w:line="360" w:lineRule="auto"/>
        <w:ind w:firstLine="480"/>
      </w:pPr>
      <w:r>
        <w:rPr>
          <w:rFonts w:ascii="Times New Roman" w:hAnsi="Times New Roman" w:eastAsia="宋体"/>
          <w:b w:val="0"/>
          <w:i w:val="0"/>
          <w:sz w:val="24"/>
        </w:rPr>
        <w:t>| 沪深300ETF | 510300 | 2013-08 | 6.73 | 22.16 | 0.30 | −45.44 |</w:t>
      </w:r>
    </w:p>
    <w:p>
      <w:pPr>
        <w:spacing w:before="0" w:after="60" w:line="360" w:lineRule="auto"/>
        <w:ind w:firstLine="480"/>
      </w:pPr>
      <w:r>
        <w:rPr>
          <w:rFonts w:ascii="Times New Roman" w:hAnsi="Times New Roman" w:eastAsia="宋体"/>
          <w:b w:val="0"/>
          <w:i w:val="0"/>
          <w:sz w:val="24"/>
        </w:rPr>
        <w:t>| 中证500ETF | 510500 | 2013-08 | 7.62 | 28.07 | 0.27 | −65.77 |</w:t>
      </w:r>
    </w:p>
    <w:p>
      <w:pPr>
        <w:spacing w:before="0" w:after="60" w:line="360" w:lineRule="auto"/>
        <w:ind w:firstLine="480"/>
      </w:pPr>
      <w:r>
        <w:rPr>
          <w:rFonts w:ascii="Times New Roman" w:hAnsi="Times New Roman" w:eastAsia="宋体"/>
          <w:b w:val="0"/>
          <w:i w:val="0"/>
          <w:sz w:val="24"/>
        </w:rPr>
        <w:t>| 黄金ETF | 518880 | 2013-08 | 9.56 | 15.22 | 0.63 | −30.52 |</w:t>
      </w:r>
    </w:p>
    <w:p>
      <w:pPr>
        <w:spacing w:before="0" w:after="60" w:line="360" w:lineRule="auto"/>
        <w:ind w:firstLine="480"/>
      </w:pPr>
      <w:r>
        <w:rPr>
          <w:rFonts w:ascii="Times New Roman" w:hAnsi="Times New Roman" w:eastAsia="宋体"/>
          <w:b w:val="0"/>
          <w:i w:val="0"/>
          <w:sz w:val="24"/>
        </w:rPr>
        <w:t>| 纳指ETF | 513100 | 2013-08 | 21.13 | 21.58 | 0.98 | −28.49 |</w:t>
      </w:r>
    </w:p>
    <w:p>
      <w:pPr>
        <w:spacing w:before="0" w:after="60" w:line="360" w:lineRule="auto"/>
        <w:ind w:firstLine="480"/>
      </w:pPr>
      <w:r>
        <w:rPr>
          <w:rFonts w:ascii="Times New Roman" w:hAnsi="Times New Roman" w:eastAsia="宋体"/>
          <w:b w:val="0"/>
          <w:i w:val="0"/>
          <w:sz w:val="24"/>
        </w:rPr>
        <w:t>| 恒生ETF | 159920 | 2013-08 | 3.29 | 21.02 | 0.16 | −47.31 |</w:t>
      </w:r>
    </w:p>
    <w:p>
      <w:pPr>
        <w:spacing w:before="0" w:after="60" w:line="360" w:lineRule="auto"/>
        <w:ind w:firstLine="480"/>
      </w:pPr>
      <w:r>
        <w:rPr>
          <w:rFonts w:ascii="Times New Roman" w:hAnsi="Times New Roman" w:eastAsia="宋体"/>
          <w:b w:val="0"/>
          <w:i w:val="0"/>
          <w:sz w:val="24"/>
        </w:rPr>
        <w:t>| 国债ETF | 511010 | 2013-08 | 3.10 | 2.39 | 1.30 | −4.92 |</w:t>
      </w:r>
    </w:p>
    <w:p>
      <w:pPr>
        <w:spacing w:before="0" w:after="60" w:line="360" w:lineRule="auto"/>
        <w:ind w:firstLine="480"/>
      </w:pPr>
      <w:r>
        <w:rPr>
          <w:rFonts w:ascii="Times New Roman" w:hAnsi="Times New Roman" w:eastAsia="宋体"/>
          <w:b w:val="0"/>
          <w:i w:val="0"/>
          <w:sz w:val="24"/>
        </w:rPr>
        <w:t>| 现金 | — | — | 2.00 | 0.00 | — | 0.00 |</w:t>
      </w:r>
    </w:p>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相关性矩阵显示：黄金与所有其他资产的相关系数介于0.02—0.09之间，几乎完全独立；纳指与A股资产相关性0.21—0.30；A股内部（红利、沪深300、中证500）相关性0.69—0.84。跨资产分散的空间正来自这一相关结构。</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0" w:after="60" w:line="360" w:lineRule="auto"/>
        <w:ind w:firstLine="480"/>
      </w:pPr>
      <w:r>
        <w:rPr>
          <w:rFonts w:ascii="Times New Roman" w:hAnsi="Times New Roman" w:eastAsia="宋体"/>
          <w:b/>
          <w:i w:val="0"/>
          <w:sz w:val="24"/>
        </w:rPr>
        <w:t>资产池的事前选择规则。</w:t>
      </w:r>
      <w:r>
        <w:rPr>
          <w:rFonts w:ascii="Times New Roman" w:hAnsi="Times New Roman" w:eastAsia="宋体"/>
          <w:b w:val="0"/>
          <w:i w:val="0"/>
          <w:sz w:val="24"/>
        </w:rPr>
        <w:t xml:space="preserve"> 资产池的构成是本文最容易被质疑为"事后挑选"的环节，因此在此完整披露选择规则。该规则在任何回测结果产生之前即已确定，共六条。</w:t>
      </w:r>
    </w:p>
    <w:p>
      <w:pPr>
        <w:spacing w:before="0" w:after="60" w:line="360" w:lineRule="auto"/>
        <w:ind w:firstLine="480"/>
      </w:pPr>
      <w:r>
        <w:rPr>
          <w:rFonts w:ascii="Times New Roman" w:hAnsi="Times New Roman" w:eastAsia="宋体"/>
          <w:b w:val="0"/>
          <w:i w:val="0"/>
          <w:sz w:val="24"/>
        </w:rPr>
        <w:t>时间上，标的必须在2013年8月1日前已上市交易——样本起点由纳指ETF与黄金ETF的上市日共同决定，二者缺一则多资产池不完整。品类上，要求池内至少覆盖境内权益（且须同时含大盘与中小盘）、境外权益（发达市场与新兴/离岸市场各一）、商品、境内利率四类；这一约束来自"跨市场分散"这一研究目标本身，而非为了获得更好的回测结果。其余四条为：</w:t>
      </w:r>
    </w:p>
    <w:p>
      <w:pPr>
        <w:spacing w:before="0" w:after="60" w:line="360" w:lineRule="auto"/>
        <w:ind w:firstLine="480"/>
      </w:pPr>
      <w:r>
        <w:rPr>
          <w:rFonts w:ascii="Times New Roman" w:hAnsi="Times New Roman" w:eastAsia="宋体"/>
          <w:b w:val="0"/>
          <w:i w:val="0"/>
          <w:sz w:val="24"/>
        </w:rPr>
        <w:t>1. 品种代表性。每个品类内选取规模与成交额居首的宽基ETF，不使用行业、主题或策略类ETF。</w:t>
      </w:r>
    </w:p>
    <w:p>
      <w:pPr>
        <w:spacing w:before="0" w:after="60" w:line="360" w:lineRule="auto"/>
        <w:ind w:firstLine="480"/>
      </w:pPr>
      <w:r>
        <w:rPr>
          <w:rFonts w:ascii="Times New Roman" w:hAnsi="Times New Roman" w:eastAsia="宋体"/>
          <w:b w:val="0"/>
          <w:i w:val="0"/>
          <w:sz w:val="24"/>
        </w:rPr>
        <w:t>2. 无杠杆、无分级。排除分级基金、杠杆与反向ETF，使"Ē=1"这一约束 exogenous 地由投资者处境而非产品结构决定。</w:t>
      </w:r>
    </w:p>
    <w:p>
      <w:pPr>
        <w:spacing w:before="0" w:after="60" w:line="360" w:lineRule="auto"/>
        <w:ind w:firstLine="480"/>
      </w:pPr>
      <w:r>
        <w:rPr>
          <w:rFonts w:ascii="Times New Roman" w:hAnsi="Times New Roman" w:eastAsia="宋体"/>
          <w:b w:val="0"/>
          <w:i w:val="0"/>
          <w:sz w:val="24"/>
        </w:rPr>
        <w:t>3. 排除个股与横截面选股，全部标的均为指数型ETF。这对应第2.3节的本土证据：月度横截面动量在中国不显著，引入个股只会把横截面 alpha 混入对风险 overlay 的评估。</w:t>
      </w:r>
    </w:p>
    <w:p>
      <w:pPr>
        <w:spacing w:before="0" w:after="60" w:line="360" w:lineRule="auto"/>
        <w:ind w:firstLine="480"/>
      </w:pPr>
      <w:r>
        <w:rPr>
          <w:rFonts w:ascii="Times New Roman" w:hAnsi="Times New Roman" w:eastAsia="宋体"/>
          <w:b w:val="0"/>
          <w:i w:val="0"/>
          <w:sz w:val="24"/>
        </w:rPr>
        <w:t>4. 不做事后剔除。池内不包含任何"因回测表现而被加入"的标的；反之，表现最强的纳指ETF亦不因表现好而被剔除，其对结论的影响由第6.1节的剔除检验单独处理。</w:t>
      </w:r>
    </w:p>
    <w:p>
      <w:pPr>
        <w:spacing w:before="0" w:after="60" w:line="360" w:lineRule="auto"/>
        <w:ind w:firstLine="480"/>
      </w:pPr>
      <w:r>
        <w:rPr>
          <w:rFonts w:ascii="Times New Roman" w:hAnsi="Times New Roman" w:eastAsia="宋体"/>
          <w:b w:val="0"/>
          <w:i w:val="0"/>
          <w:sz w:val="24"/>
        </w:rPr>
        <w:t>需要限定的是，这一规则追求的是代表性，而非最优性：本文不声称该六资产池是任何意义上的最优组合，只声称它是一个品类完备、流动性可交易、时间上可得的最小分散化组合。第6.1节对全部六类资产逐一做剔除检验，即是针对"结论是否由资产池选择驱动"这一质疑的直接回应。</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之所以用价格分位而非PE，原因有二：沪深300的PE数据在公开渠道缺失严重、口径不一；而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来自央行月度数据，日频前向填充。剪刀差&lt;−10时，A股权重再打六折，用以刻画"场外资金"状况。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w:t>
      </w:r>
    </w:p>
    <w:p>
      <w:pPr>
        <w:spacing w:before="0" w:after="60" w:line="360" w:lineRule="auto"/>
        <w:ind w:firstLine="480"/>
      </w:pPr>
      <w:r>
        <w:rPr>
          <w:rFonts w:ascii="Times New Roman" w:hAnsi="Times New Roman" w:eastAsia="宋体"/>
          <w:b w:val="0"/>
          <w:i w:val="0"/>
          <w:sz w:val="24"/>
        </w:rPr>
        <w:t>| 档位 | 触发（D_t ≤） | 退出（D_t &gt;） | 仓位乘子 φ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1 | −1.5% | −0.5% | 0.70 |</w:t>
      </w:r>
    </w:p>
    <w:p>
      <w:pPr>
        <w:spacing w:before="0" w:after="60" w:line="360" w:lineRule="auto"/>
        <w:ind w:firstLine="480"/>
      </w:pPr>
      <w:r>
        <w:rPr>
          <w:rFonts w:ascii="Times New Roman" w:hAnsi="Times New Roman" w:eastAsia="宋体"/>
          <w:b w:val="0"/>
          <w:i w:val="0"/>
          <w:sz w:val="24"/>
        </w:rPr>
        <w:t>| 2 | −2.5% | −1.0% | 0.40 |</w:t>
      </w:r>
    </w:p>
    <w:p>
      <w:pPr>
        <w:spacing w:before="0" w:after="60" w:line="360" w:lineRule="auto"/>
        <w:ind w:firstLine="480"/>
      </w:pPr>
      <w:r>
        <w:rPr>
          <w:rFonts w:ascii="Times New Roman" w:hAnsi="Times New Roman" w:eastAsia="宋体"/>
          <w:b w:val="0"/>
          <w:i w:val="0"/>
          <w:sz w:val="24"/>
        </w:rPr>
        <w:t>| 3 | −3.5% | −1.8% | 0.15 |</w:t>
      </w:r>
    </w:p>
    <w:p>
      <w:pPr>
        <w:spacing w:before="0" w:after="60" w:line="360" w:lineRule="auto"/>
        <w:ind w:firstLine="480"/>
      </w:pPr>
      <w:r>
        <w:rPr>
          <w:rFonts w:ascii="Times New Roman" w:hAnsi="Times New Roman" w:eastAsia="宋体"/>
          <w:b w:val="0"/>
          <w:i w:val="0"/>
          <w:sz w:val="24"/>
        </w:rPr>
        <w:t>进/出阈值取不同的值，是一个关键的工程细节：若二者相同，策略会在阈值附近反复横跳，产生大量无效换手。这一"滞回带"设计在实务中被广泛采用，但学术文献鲜有明确报告。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数据处理：两处需要校正的陷阱</w:t>
      </w:r>
    </w:p>
    <w:p>
      <w:pPr>
        <w:spacing w:before="0" w:after="60" w:line="360" w:lineRule="auto"/>
        <w:ind w:firstLine="480"/>
      </w:pPr>
      <w:r>
        <w:rPr>
          <w:rFonts w:ascii="Times New Roman" w:hAnsi="Times New Roman" w:eastAsia="宋体"/>
          <w:b/>
          <w:i w:val="0"/>
          <w:sz w:val="24"/>
        </w:rPr>
        <w:t>陷阱一：份额折算造成的假跳变。</w:t>
      </w:r>
      <w:r>
        <w:rPr>
          <w:rFonts w:ascii="Times New Roman" w:hAnsi="Times New Roman" w:eastAsia="宋体"/>
          <w:b w:val="0"/>
          <w:i w:val="0"/>
          <w:sz w:val="24"/>
        </w:rPr>
        <w:t xml:space="preserve"> 场内ETF的份额折算（拆分或合并）会在价格序列中产生巨大的假跳变。本文扫描发现：纳斯达克100 ETF（513100）在2022-01-14出现单日−80.45%，中证500 ETF（510500）在2015-04-15出现单日+248.55%。若不校正，纳指ETF的回测年化将从校正后的21.03%被低估至6.68%（偏差14.35个百分点；该校正检验的序列口径见第6.4节表16及其表注，与表1前复权全序列口径下的21.13%相差0.1个百分点），中证500 ETF则从7.62%被高估至16.42%。本文改用前复权序列并逐一扫描 |日收益|&gt;15% 的异常点，校正后全部资产的异常点数为0；使用中国 ETF 数据时，这一扫描不是可选的质检环节，而是估计年化收益之前的必要步骤。</w:t>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红利ETF（510880）在部分数据源的前复权序列中，因份额折算与分红的复合作用，2013—2014年段出现单日−28%的假跌，导致"满仓红利最大回撤−67%"的荒谬结论。本文的处理是取未复权的原始价格，叠加从天天基金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年化收益、年化波动、夏普比率、最大回撤（MDD）、卡玛比率（年化/MDD）、年度胜率。所有结果均已扣除交易成本（单边万分之三，对应ETF场内交易的佣金与冲击成本），扣减时点与口径见下方统一声明。</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0" w:after="60" w:line="360" w:lineRule="auto"/>
        <w:ind w:firstLine="480"/>
      </w:pPr>
      <w:r>
        <w:rPr>
          <w:rFonts w:ascii="Times New Roman" w:hAnsi="Times New Roman" w:eastAsia="宋体"/>
          <w:b/>
          <w:i w:val="0"/>
          <w:sz w:val="24"/>
        </w:rPr>
        <w:t>计量口径的统一声明。</w:t>
      </w:r>
      <w:r>
        <w:rPr>
          <w:rFonts w:ascii="Times New Roman" w:hAnsi="Times New Roman" w:eastAsia="宋体"/>
          <w:b w:val="0"/>
          <w:i w:val="0"/>
          <w:sz w:val="24"/>
        </w:rPr>
        <w:t xml:space="preserve"> 全文结果——主结果、机制检验、稳健性检验与约束成本扫描——共用一套口径，任何例外均在出现处单独标注：</w:t>
      </w:r>
    </w:p>
    <w:p>
      <w:pPr>
        <w:spacing w:before="0" w:after="60" w:line="360" w:lineRule="auto"/>
        <w:ind w:firstLine="480"/>
      </w:pPr>
      <w:r>
        <w:rPr>
          <w:rFonts w:ascii="Times New Roman" w:hAnsi="Times New Roman" w:eastAsia="宋体"/>
          <w:b w:val="0"/>
          <w:i w:val="0"/>
          <w:sz w:val="24"/>
        </w:rPr>
        <w:t>1. 交易成本按单边万分之三计，仅在月度调仓日按换手金额扣减（|Δw| 之和 × 0.0003）；日频的回撤控制档位切换发生在同一资产内部、不产生额外换手，故不重复计费。第6.7节另就万六与万十二做了敏感性检验。</w:t>
      </w:r>
    </w:p>
    <w:p>
      <w:pPr>
        <w:spacing w:before="0" w:after="60" w:line="360" w:lineRule="auto"/>
        <w:ind w:firstLine="480"/>
      </w:pPr>
      <w:r>
        <w:rPr>
          <w:rFonts w:ascii="Times New Roman" w:hAnsi="Times New Roman" w:eastAsia="宋体"/>
          <w:b w:val="0"/>
          <w:i w:val="0"/>
          <w:sz w:val="24"/>
        </w:rPr>
        <w:t>2. 无风险利率。现金收益率固定为年化2%，夏普比率以此为基准，分母取组合总波动（含现金与国债部分）。改以国债ETF的样本内实际收益（3.10%）为无风险利率会使本文策略的夏普比率相应下降，故第4.4节同时报告了策略与国债ETF的直接对比（ΔSharpe=+0.116，p=0.774）。</w:t>
      </w:r>
    </w:p>
    <w:p>
      <w:pPr>
        <w:spacing w:before="0" w:after="60" w:line="360" w:lineRule="auto"/>
        <w:ind w:firstLine="480"/>
      </w:pPr>
      <w:r>
        <w:rPr>
          <w:rFonts w:ascii="Times New Roman" w:hAnsi="Times New Roman" w:eastAsia="宋体"/>
          <w:b w:val="0"/>
          <w:i w:val="0"/>
          <w:sz w:val="24"/>
        </w:rPr>
        <w:t>3. 融资成本仅在 Ē=2 情形下适用，按年化3%对超出自有资金的部分逐日计提，与交易成本并列扣除。</w:t>
      </w:r>
    </w:p>
    <w:p>
      <w:pPr>
        <w:spacing w:before="0" w:after="60" w:line="360" w:lineRule="auto"/>
        <w:ind w:firstLine="480"/>
      </w:pPr>
      <w:r>
        <w:rPr>
          <w:rFonts w:ascii="Times New Roman" w:hAnsi="Times New Roman" w:eastAsia="宋体"/>
          <w:b w:val="0"/>
          <w:i w:val="0"/>
          <w:sz w:val="24"/>
        </w:rPr>
        <w:t>4. 年化收益取几何年化，即 (NAV_T/NAV_0)^(252/T) − 1；年化波动为日收益标准差 × √252。全文一致，不做算术年化与几何年化的混用。</w:t>
      </w:r>
    </w:p>
    <w:p>
      <w:pPr>
        <w:spacing w:before="0" w:after="60" w:line="360" w:lineRule="auto"/>
        <w:ind w:firstLine="480"/>
      </w:pPr>
      <w:r>
        <w:rPr>
          <w:rFonts w:ascii="Times New Roman" w:hAnsi="Times New Roman" w:eastAsia="宋体"/>
          <w:b w:val="0"/>
          <w:i w:val="0"/>
          <w:sz w:val="24"/>
        </w:rPr>
        <w:t>5. 引擎一致性。主结果（第4节）与机制检验（第5节）使用两套代码，前者输出净值、后者输出日频敞口序列。本文已逐日核对两套引擎在同一参数下的净值序列，3210个交易日完全一致（最大绝对偏差0），确保机制变量与主结果同源。</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1报告本文策略（σ*=5.5%，启用回撤控制）与四类基准的绩效对比。样本区间2013-08-01至2026-10-20，所有结果已扣除交易成本。基准的选择遵循"可比性优先"原则：既包括单一资产（检验是否押中幸运标的），也包括静态配置与规则型风控（检验是否只是"低波动"与"组合保险"的既有功劳）。</w:t>
      </w:r>
    </w:p>
    <w:p>
      <w:pPr>
        <w:spacing w:before="200" w:after="60" w:line="276" w:lineRule="auto"/>
        <w:jc w:val="center"/>
      </w:pPr>
      <w:r>
        <w:rPr>
          <w:rFonts w:ascii="Times New Roman" w:hAnsi="Times New Roman" w:eastAsia="黑体"/>
          <w:b/>
          <w:i w:val="0"/>
          <w:sz w:val="21"/>
        </w:rPr>
        <w:t>表1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类别</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满仓国债ETF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等权6资产（月度再平衡）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逆波动加权满仓（风险平价近似）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60国债/40沪深300（月平衡）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规则型风控</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CPPI（m=3，底线90%）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4.55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5.21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−8.66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0.53</w:t>
            </w:r>
          </w:p>
        </w:tc>
      </w:tr>
    </w:tbl>
    <w:p>
      <w:pPr>
        <w:spacing w:before="0" w:after="60" w:line="360" w:lineRule="auto"/>
        <w:ind w:firstLine="480"/>
      </w:pPr>
      <w:r>
        <w:rPr>
          <w:rFonts w:ascii="Times New Roman" w:hAnsi="Times New Roman" w:eastAsia="宋体"/>
          <w:b w:val="0"/>
          <w:i w:val="0"/>
          <w:sz w:val="24"/>
        </w:rPr>
        <w:t>策略夏普比率1.43高于表1全部11个对照，包括样本内表现最强的纳指ETF（0.98）、风险平价近似组合（0.90）与CPPI（0.87）。CPPI的对比尤其关键：后者同属"按规则削减敞口"的风控手段，年化仅4.55%、夏普0.87，可见规则型风控本身并不自动带来这份优势。但这一优势相对国债ETF（夏普1.30）不具统计显著性（ΔSharpe=+0.116，p=0.774，见第4.4节），且策略含有样本内被检验的参数。因此本文不把"夏普1.43"作为核心主张，它只说明后续机制检验是在一个并非病态的策略上进行的。</w:t>
      </w:r>
    </w:p>
    <w:p>
      <w:pPr>
        <w:spacing w:before="0" w:after="60" w:line="360" w:lineRule="auto"/>
        <w:ind w:firstLine="480"/>
      </w:pPr>
      <w:r>
        <w:rPr>
          <w:rFonts w:ascii="Times New Roman" w:hAnsi="Times New Roman" w:eastAsia="宋体"/>
          <w:b w:val="0"/>
          <w:i w:val="0"/>
          <w:sz w:val="24"/>
        </w:rPr>
        <w:t>回撤压缩的数量级同样醒目：策略将沪深300ETF的−45.44%最大回撤压缩至−4.15%，相当于10.9倍，年化波动从22.16%降至4.52%；等权6资产组合为−30.55%、风险平价组合为−20.86%，均远高于本文策略。这一压缩并非来自预测能力，而是来自"不在场的时候真的不在场"。</w:t>
      </w:r>
    </w:p>
    <w:p>
      <w:pPr>
        <w:spacing w:before="0" w:after="60" w:line="360" w:lineRule="auto"/>
        <w:ind w:firstLine="480"/>
      </w:pPr>
      <w:r>
        <w:rPr>
          <w:rFonts w:ascii="Times New Roman" w:hAnsi="Times New Roman" w:eastAsia="宋体"/>
          <w:b w:val="0"/>
          <w:i w:val="0"/>
          <w:sz w:val="24"/>
        </w:rPr>
        <w:t>代价写在收益一侧。策略年化6.47%低于满仓纳指（21.13%）、满仓红利（9.99%）、等权组合（11.01%）与风险平价组合（11.79%），这是低波动策略的必然代价，本文既不回避也不粉饰。使用这一策略的目的不是证明它更好，而是把它当作一台可控的实验装置：可以干净地开关回撤控制、连续调节目标波动、关闭战术信号，从而识别两层风控的交互效应。一个年化21%的满仓纳指策略承担不了这一功能——它没有风控层可供开关。</w:t>
      </w:r>
    </w:p>
    <w:p>
      <w:pPr>
        <w:spacing w:before="200" w:after="60" w:line="276" w:lineRule="auto"/>
        <w:jc w:val="center"/>
      </w:pPr>
      <w:r>
        <w:rPr>
          <w:rFonts w:ascii="Times New Roman" w:hAnsi="Times New Roman" w:eastAsia="黑体"/>
          <w:b/>
          <w:i w:val="0"/>
          <w:sz w:val="21"/>
        </w:rPr>
        <w:t>表2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下跌的7个年份（2013、2016、2018、2021、2022、2023、2026）中，策略7年全部跑赢，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表3报告本文的核心发现：对8个目标波动水平（3%—12%）分别运行完整回测，并在启用与关闭回撤控制两种情形下比较。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表3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val="0"/>
          <w:i w:val="0"/>
          <w:sz w:val="24"/>
        </w:rPr>
        <w:t>两条前沿的差异不止于水平。</w:t>
      </w:r>
    </w:p>
    <w:p>
      <w:pPr>
        <w:spacing w:before="40" w:after="40" w:line="336" w:lineRule="auto"/>
        <w:ind w:left="480"/>
      </w:pPr>
      <w:r>
        <w:rPr>
          <w:rFonts w:ascii="Times New Roman" w:hAnsi="Times New Roman" w:eastAsia="宋体"/>
          <w:b w:val="0"/>
          <w:i w:val="0"/>
          <w:sz w:val="24"/>
        </w:rPr>
        <w:t>关闭回撤控制时，年化收益随目标波动单调递增，从5.48%（σ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val="0"/>
          <w:i w:val="0"/>
          <w:sz w:val="24"/>
        </w:rPr>
        <w:t>启用回撤控制时，年化收益转为单峰形态：从5.09%升至6.47%（σ</w:t>
      </w:r>
      <w:r>
        <w:rPr>
          <w:rFonts w:ascii="Times New Roman" w:hAnsi="Times New Roman" w:eastAsia="宋体"/>
          <w:b w:val="0"/>
          <w:i w:val="0"/>
          <w:sz w:val="24"/>
        </w:rPr>
        <w:t>*=5.5%）后持续回落，至σ*</w:t>
      </w:r>
      <w:r>
        <w:rPr>
          <w:rFonts w:ascii="Times New Roman" w:hAnsi="Times New Roman" w:eastAsia="宋体"/>
          <w:b w:val="0"/>
          <w:i w:val="0"/>
          <w:sz w:val="24"/>
        </w:rPr>
        <w:t>=12%时降至5.37%。把目标波动从3%提高到12%，年化收益只从5.09%升到5.37%，增加0.28个百分点；而在σ*=5.5%之后，投资者承担了更高的目标风险，收益反而更低（6.47%→5.37%，−1.10个百分点）。</w:t>
      </w:r>
    </w:p>
    <w:p>
      <w:pPr>
        <w:spacing w:before="40" w:after="40" w:line="336" w:lineRule="auto"/>
        <w:ind w:left="480"/>
      </w:pPr>
      <w:r>
        <w:rPr>
          <w:rFonts w:ascii="Times New Roman" w:hAnsi="Times New Roman" w:eastAsia="宋体"/>
          <w:b w:val="0"/>
          <w:i w:val="0"/>
          <w:sz w:val="24"/>
        </w:rPr>
        <w:t>最大回撤被"封顶"在−4.08%至−6.06%的窄区间内，不再随目标波动同步扩大。这看似是优点，实则正是问题所在：回撤约束被硬绑定之后，风险预算的边际收益归零。</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交互效应的描述性分解</w:t>
      </w:r>
    </w:p>
    <w:p>
      <w:pPr>
        <w:spacing w:before="0" w:after="60" w:line="360" w:lineRule="auto"/>
        <w:ind w:firstLine="480"/>
      </w:pPr>
      <w:r>
        <w:rPr>
          <w:rFonts w:ascii="Times New Roman" w:hAnsi="Times New Roman" w:eastAsia="宋体"/>
          <w:b w:val="0"/>
          <w:i w:val="0"/>
          <w:sz w:val="24"/>
        </w:rPr>
        <w:t>为量化交互效应，最自然的做法是以16个（σ*, DC）组合的结果为观测，估计如下交互项模型：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val="0"/>
          <w:i w:val="0"/>
          <w:sz w:val="24"/>
        </w:rPr>
        <w:t>本文估计了该模型，但拒绝将其作为统计推断的依据，只作为描述性分解报告。拒绝的理由有三点。</w:t>
      </w:r>
    </w:p>
    <w:p>
      <w:pPr>
        <w:spacing w:before="0" w:after="60" w:line="360" w:lineRule="auto"/>
        <w:ind w:firstLine="480"/>
      </w:pPr>
      <w:r>
        <w:rPr>
          <w:rFonts w:ascii="Times New Roman" w:hAnsi="Times New Roman" w:eastAsia="宋体"/>
          <w:b w:val="0"/>
          <w:i w:val="0"/>
          <w:sz w:val="24"/>
        </w:rPr>
        <w:t>其一，这16个"观测"不是独立抽样。它们是同一段3210个交易日的样本在16组参数下的重复评估，相邻σ*档位共享几乎全部交易日路径，残差之间存在机械的高阶相关。其二，由此得到的OLS标准误严重低估真实不确定性，任何基于其的t统计量与p值都会给出虚假的精确性——一个N=16、残差强相关的回归报告p&lt;0.001，其信息含量接近于零。其三，交互模型的β₃在代数上等价于"两条分支各自斜率之差"，完全可以在不引入推断框架的前提下报告同一个数字。</w:t>
      </w:r>
    </w:p>
    <w:p>
      <w:pPr>
        <w:spacing w:before="0" w:after="60" w:line="360" w:lineRule="auto"/>
        <w:ind w:firstLine="480"/>
      </w:pPr>
      <w:r>
        <w:rPr>
          <w:rFonts w:ascii="Times New Roman" w:hAnsi="Times New Roman" w:eastAsia="宋体"/>
          <w:b w:val="0"/>
          <w:i w:val="0"/>
          <w:sz w:val="24"/>
        </w:rPr>
        <w:t>基于以上考虑，表4以分支斜率的形式报告结果。</w:t>
      </w:r>
    </w:p>
    <w:p>
      <w:pPr>
        <w:spacing w:before="200" w:after="60" w:line="276" w:lineRule="auto"/>
        <w:jc w:val="center"/>
      </w:pPr>
      <w:r>
        <w:rPr>
          <w:rFonts w:ascii="Times New Roman" w:hAnsi="Times New Roman" w:eastAsia="黑体"/>
          <w:b/>
          <w:i w:val="0"/>
          <w:sz w:val="21"/>
        </w:rPr>
        <w:t>表4　"收益—目标波动"关系的分支斜率（描述性，不作推断）</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斜率之差</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−0.0384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−0.0156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0.927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−0.0510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+0.0218</w:t>
            </w:r>
          </w:p>
        </w:tc>
      </w:tr>
    </w:tbl>
    <w:p>
      <w:pPr>
        <w:spacing w:before="0" w:after="60" w:line="360" w:lineRule="auto"/>
        <w:ind w:firstLine="480"/>
      </w:pPr>
      <w:r>
        <w:rPr>
          <w:rFonts w:ascii="Times New Roman" w:hAnsi="Times New Roman" w:eastAsia="宋体"/>
          <w:b w:val="0"/>
          <w:i w:val="0"/>
          <w:sz w:val="24"/>
        </w:rPr>
        <w:t>注：斜率的单位为"目标波动每提高1个百分点所引起的因变量变化"；分支内回归各含8个观测。斜率之差在数值上等于合并估计交互项模型时 σ</w:t>
      </w:r>
      <w:r>
        <w:rPr>
          <w:rFonts w:ascii="Times New Roman" w:hAnsi="Times New Roman" w:eastAsia="宋体"/>
          <w:b w:val="0"/>
          <w:i w:val="0"/>
          <w:sz w:val="24"/>
        </w:rPr>
        <w:t>*×DC 的系数 β₃。R² 仅描述线性近似对8个散点的贴合程度，不承担推断含义。*</w:t>
      </w:r>
      <w:r>
        <w:rPr>
          <w:rFonts w:ascii="Times New Roman" w:hAnsi="Times New Roman" w:eastAsia="宋体"/>
          <w:b w:val="0"/>
          <w:i w:val="0"/>
          <w:sz w:val="24"/>
        </w:rPr>
        <w:t>*本表不报告标准误、t 值与 p 值，原因见正文*</w:t>
      </w:r>
      <w:r>
        <w:rPr>
          <w:rFonts w:ascii="Times New Roman" w:hAnsi="Times New Roman" w:eastAsia="宋体"/>
          <w:b w:val="0"/>
          <w:i w:val="0"/>
          <w:sz w:val="24"/>
        </w:rPr>
        <w:t>*；对核心结论的统计推断一律采用第4.4节的 block bootstrap。</w:t>
      </w:r>
    </w:p>
    <w:p>
      <w:pPr>
        <w:spacing w:before="0" w:after="60" w:line="360" w:lineRule="auto"/>
        <w:ind w:firstLine="480"/>
      </w:pPr>
      <w:r>
        <w:rPr>
          <w:rFonts w:ascii="Times New Roman" w:hAnsi="Times New Roman" w:eastAsia="宋体"/>
          <w:b w:val="0"/>
          <w:i w:val="0"/>
          <w:sz w:val="24"/>
        </w:rPr>
        <w:t>关闭回撤控制时，年化收益对σ</w:t>
      </w:r>
      <w:r>
        <w:rPr>
          <w:rFonts w:ascii="Times New Roman" w:hAnsi="Times New Roman" w:eastAsia="宋体"/>
          <w:b w:val="0"/>
          <w:i w:val="0"/>
          <w:sz w:val="24"/>
        </w:rPr>
        <w:t>*的斜率为+0.6479，R²=0.988，即σ*</w:t>
      </w:r>
      <w:r>
        <w:rPr>
          <w:rFonts w:ascii="Times New Roman" w:hAnsi="Times New Roman" w:eastAsia="宋体"/>
          <w:b w:val="0"/>
          <w:i w:val="0"/>
          <w:sz w:val="24"/>
        </w:rPr>
        <w:t>几乎完全解释了收益的变化；启用回撤控制后，斜率降至+0.0270，仅为前者的4.2%，R²降至0.020。后者是表4中最有信息量的数字：回撤控制一旦开启，目标波动对收益已经基本失去解释力。提高风险预算不再带来收益，这不是斜率"变小"，而是关系"消失"。</w:t>
      </w:r>
    </w:p>
    <w:p>
      <w:pPr>
        <w:spacing w:before="0" w:after="60" w:line="360" w:lineRule="auto"/>
        <w:ind w:firstLine="480"/>
      </w:pPr>
      <w:r>
        <w:rPr>
          <w:rFonts w:ascii="Times New Roman" w:hAnsi="Times New Roman" w:eastAsia="宋体"/>
          <w:b w:val="0"/>
          <w:i w:val="0"/>
          <w:sz w:val="24"/>
        </w:rPr>
        <w:t>交互效应的方向则取决于口径。年化收益口径的斜率之差为−0.6209，抵消了主效应的95.8%；卡玛比率口径的斜率之差为+0.0218，方向相反。原因是回撤控制同时压缩了回撤分母，这一正向作用抵消了收益端的负效应。也就是说，回撤控制"改善"了风险调整指标，却"损害"了绝对收益；若以绝对收益为目标，而这正是零售投资者与绝对收益产品的真实目标，交互效应明确为负。</w:t>
      </w:r>
    </w:p>
    <w:p>
      <w:pPr>
        <w:spacing w:before="0" w:after="60" w:line="360" w:lineRule="auto"/>
        <w:ind w:firstLine="480"/>
      </w:pPr>
      <w:r>
        <w:rPr>
          <w:rFonts w:ascii="Times New Roman" w:hAnsi="Times New Roman" w:eastAsia="宋体"/>
          <w:b w:val="0"/>
          <w:i w:val="0"/>
          <w:sz w:val="24"/>
        </w:rPr>
        <w:t>DC开分支0.020的R²也不宜读作"噪声大"，它反映的是线性设定错误，该分支的真实形状是单峰而非直线。这与第4.2节的核心发现是同一件事的两种表述，同时说明用单一交互项刻画两层风控的关系并不充分：本文关注的对象是前沿的形状，而非斜率。</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表5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内点最优是真实的，而非样本噪声。σ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val="0"/>
          <w:i w:val="0"/>
          <w:sz w:val="24"/>
        </w:rPr>
        <w:t>策略显著优于股票类基准（vs 沪深300 p&lt;0.001；vs 红利 p=0.004），但不显著优于国债ETF（ΔSharpe=+0.116, p=0.774）。这一负面结果必须如实报告：国债ETF在本样本内夏普已达1.30，受益于2014年以来的债券长牛，策略相对国债的风险调整优势不具统计显著性。因此本文策略的增量价值主要体现在绝对收益与回撤控制，而非相对无风险资产的夏普提升。</w:t>
      </w:r>
    </w:p>
    <w:p>
      <w:pPr>
        <w:spacing w:before="0" w:after="60" w:line="360" w:lineRule="auto"/>
        <w:ind w:firstLine="480"/>
      </w:pPr>
      <w:r>
        <w:rPr>
          <w:rFonts w:ascii="Times New Roman" w:hAnsi="Times New Roman" w:eastAsia="宋体"/>
          <w:b w:val="0"/>
          <w:i w:val="0"/>
          <w:sz w:val="24"/>
        </w:rPr>
        <w:t>回撤控制本身的收益影响同样不显著（p=0.112）。它不改变夏普，只改变前沿形状：在低目标波动区帮助有限，在高目标波动区伤害显著。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本文构造敞口实现率（realization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表6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35.1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60.1</w:t>
            </w:r>
          </w:p>
        </w:tc>
      </w:tr>
    </w:tbl>
    <w:p>
      <w:pPr>
        <w:spacing w:before="0" w:after="60" w:line="360" w:lineRule="auto"/>
        <w:ind w:firstLine="480"/>
      </w:pPr>
      <w:r>
        <w:rPr>
          <w:rFonts w:ascii="Times New Roman" w:hAnsi="Times New Roman" w:eastAsia="宋体"/>
          <w:b w:val="0"/>
          <w:i w:val="0"/>
          <w:sz w:val="24"/>
        </w:rPr>
        <w:t>表6是本文最直接的机制证据。λ 从1.075（σ</w:t>
      </w:r>
      <w:r>
        <w:rPr>
          <w:rFonts w:ascii="Times New Roman" w:hAnsi="Times New Roman" w:eastAsia="宋体"/>
          <w:b w:val="0"/>
          <w:i w:val="0"/>
          <w:sz w:val="24"/>
        </w:rPr>
        <w:t>*=3%）降至0.461（σ*</w:t>
      </w:r>
      <w:r>
        <w:rPr>
          <w:rFonts w:ascii="Times New Roman" w:hAnsi="Times New Roman" w:eastAsia="宋体"/>
          <w:b w:val="0"/>
          <w:i w:val="0"/>
          <w:sz w:val="24"/>
        </w:rPr>
        <w:t>=12%）：在目标波动12%时，投资者"计划"承担12%的波动，实际只承担5.54%，风险预算有一半以上从未被使用。</w:t>
      </w:r>
    </w:p>
    <w:p>
      <w:pPr>
        <w:spacing w:before="0" w:after="60" w:line="360" w:lineRule="auto"/>
        <w:ind w:firstLine="480"/>
      </w:pPr>
      <w:r>
        <w:rPr>
          <w:rFonts w:ascii="Times New Roman" w:hAnsi="Times New Roman" w:eastAsia="宋体"/>
          <w:b w:val="0"/>
          <w:i w:val="0"/>
          <w:sz w:val="24"/>
        </w:rPr>
        <w:t>目标敞口的增长被系统性吞噬：目标敞口从0.444提升至0.852，增幅92%，而有效敞口仅从0.318升至0.340，增幅6.9%。σ* 从5.5%提到12%所增加的风险预算，约有93%从未转化为实际持仓。这是命题2 中经验条件 A2（敞口饱和）的直接证据。</w:t>
      </w:r>
    </w:p>
    <w:p>
      <w:pPr>
        <w:spacing w:before="0" w:after="60" w:line="360" w:lineRule="auto"/>
        <w:ind w:firstLine="480"/>
      </w:pPr>
      <w:r>
        <w:rPr>
          <w:rFonts w:ascii="Times New Roman" w:hAnsi="Times New Roman" w:eastAsia="宋体"/>
          <w:b w:val="0"/>
          <w:i w:val="0"/>
          <w:sz w:val="24"/>
        </w:rPr>
        <w:t>实现波动在σ*=5.5%之后几乎不再增长：从4.52%到5.54%，仅增加1.02个百分点，同期目标波动却增加了6.5个百分点，削减比例同步从28.4%升至60.1%。实际承担的风险无法提高，第4.2节观察到的前沿单峰便有了直接来源。</w:t>
      </w:r>
    </w:p>
    <w:p>
      <w:pPr>
        <w:spacing w:before="0" w:after="60" w:line="360" w:lineRule="auto"/>
        <w:ind w:firstLine="480"/>
      </w:pPr>
      <w:r>
        <w:rPr>
          <w:rFonts w:ascii="Times New Roman" w:hAnsi="Times New Roman" w:eastAsia="宋体"/>
          <w:b w:val="0"/>
          <w:i w:val="0"/>
          <w:sz w:val="24"/>
        </w:rPr>
        <w:t>本文进一步估计了两层削减比例的相关性 corr(cut_V, cut_D)，在σ</w:t>
      </w:r>
      <w:r>
        <w:rPr>
          <w:rFonts w:ascii="Times New Roman" w:hAnsi="Times New Roman" w:eastAsia="宋体"/>
          <w:b w:val="0"/>
          <w:i w:val="0"/>
          <w:sz w:val="24"/>
        </w:rPr>
        <w:t>*∈{3%, 5.5%, 9%, 12%}上分别为 +0.067、+0.179、+0.082、+0.046，符号一致为正；两层同时处于削减状态的交易日占比从18.5%（σ*</w:t>
      </w:r>
      <w:r>
        <w:rPr>
          <w:rFonts w:ascii="Times New Roman" w:hAnsi="Times New Roman" w:eastAsia="宋体"/>
          <w:b w:val="0"/>
          <w:i w:val="0"/>
          <w:sz w:val="24"/>
        </w:rPr>
        <w:t>=3%）升至43.7%（σ*=12%）。这与前提 A1（高波动期与深回撤期重合）一致，但相关性水平并不高，最高仅0.179，两层并非完全同步，回撤控制的削减中有相当一部分是独立触发的。结合第6.7节"阈值放宽后前沿恢复单调"的发现，决定成本大小的是触发频率而非同步性。</w:t>
      </w:r>
    </w:p>
    <w:p>
      <w:pPr>
        <w:spacing w:before="0" w:after="60" w:line="360" w:lineRule="auto"/>
        <w:ind w:firstLine="480"/>
      </w:pPr>
      <w:r>
        <w:rPr>
          <w:rFonts w:ascii="Times New Roman" w:hAnsi="Times New Roman" w:eastAsia="宋体"/>
          <w:b w:val="0"/>
          <w:i w:val="0"/>
          <w:sz w:val="24"/>
        </w:rPr>
        <w:t>敞口饱和的经验内容由此得到证实。</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表7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3.86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1.93</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1.23</w:t>
            </w:r>
          </w:p>
        </w:tc>
      </w:tr>
    </w:tbl>
    <w:p>
      <w:pPr>
        <w:spacing w:before="0" w:after="60" w:line="360" w:lineRule="auto"/>
        <w:ind w:firstLine="480"/>
      </w:pPr>
      <w:r>
        <w:rPr>
          <w:rFonts w:ascii="Times New Roman" w:hAnsi="Times New Roman" w:eastAsia="宋体"/>
          <w:b w:val="0"/>
          <w:i w:val="0"/>
          <w:sz w:val="24"/>
        </w:rPr>
        <w:t>*口径说明*</w:t>
      </w:r>
      <w:r>
        <w:rPr>
          <w:rFonts w:ascii="Times New Roman" w:hAnsi="Times New Roman" w:eastAsia="宋体"/>
          <w:b w:val="0"/>
          <w:i w:val="0"/>
          <w:sz w:val="24"/>
        </w:rPr>
        <w:t>：择时效应按残差定义（年化减去敞口效应），因此它同时包含敞口与资产收益之间的协方差，并非对"择时能力"的独立度量。下文对它的解读均限于分解意义上的相对变动，不将其解读为择时 alpha。</w:t>
      </w:r>
    </w:p>
    <w:p>
      <w:pPr>
        <w:spacing w:before="0" w:after="60" w:line="360" w:lineRule="auto"/>
        <w:ind w:firstLine="480"/>
      </w:pPr>
      <w:r>
        <w:rPr>
          <w:rFonts w:ascii="Times New Roman" w:hAnsi="Times New Roman" w:eastAsia="宋体"/>
          <w:b w:val="0"/>
          <w:i w:val="0"/>
          <w:sz w:val="24"/>
        </w:rPr>
        <w:t>分解结果沿两个不同的方向进行比较，得到的结论并不相同，本文分别报告。</w:t>
      </w:r>
    </w:p>
    <w:p>
      <w:pPr>
        <w:spacing w:before="0" w:after="60" w:line="360" w:lineRule="auto"/>
        <w:ind w:firstLine="480"/>
      </w:pPr>
      <w:r>
        <w:rPr>
          <w:rFonts w:ascii="Times New Roman" w:hAnsi="Times New Roman" w:eastAsia="宋体"/>
          <w:b/>
          <w:i w:val="0"/>
          <w:sz w:val="24"/>
        </w:rPr>
        <w:t>跨档比较：同一 σ* 下开关回撤控制。</w:t>
      </w:r>
      <w:r>
        <w:rPr>
          <w:rFonts w:ascii="Times New Roman" w:hAnsi="Times New Roman" w:eastAsia="宋体"/>
          <w:b w:val="0"/>
          <w:i w:val="0"/>
          <w:sz w:val="24"/>
        </w:rPr>
        <w:t xml:space="preserve"> 在σ*=12%时，关闭回撤控制的敞口效应为10.36%，开启后降至4.13%，减少6.23个百分点；而择时效应不降反升，从0.92%升至1.23%，增加0.31个百分点。可见回撤控制的损害主要来自"把平均仓位压低"，而非"干扰择时"。这一结果修正了"回撤控制会破坏择时信号"的常见印象。</w:t>
      </w:r>
    </w:p>
    <w:p>
      <w:pPr>
        <w:spacing w:before="0" w:after="60" w:line="360" w:lineRule="auto"/>
        <w:ind w:firstLine="480"/>
      </w:pPr>
      <w:r>
        <w:rPr>
          <w:rFonts w:ascii="Times New Roman" w:hAnsi="Times New Roman" w:eastAsia="宋体"/>
          <w:b/>
          <w:i w:val="0"/>
          <w:sz w:val="24"/>
        </w:rPr>
        <w:t>沿前沿比较：回撤控制开启后沿 σ* 移动。</w:t>
      </w:r>
      <w:r>
        <w:rPr>
          <w:rFonts w:ascii="Times New Roman" w:hAnsi="Times New Roman" w:eastAsia="宋体"/>
          <w:b w:val="0"/>
          <w:i w:val="0"/>
          <w:sz w:val="24"/>
        </w:rPr>
        <w:t xml:space="preserve"> 在回撤控制开启时，σ* 从5.5%升至12%，敞口效应仅从3.86%微升至4.13%，增加0.27pp，而择时效应从2.61%降至1.23%，减少1.38pp，二者相抵后净损失1.10pp，恰等于第4.2节观察到的末端衰减幅度。这里浮现出第二个机制，即信号冲销（signal offsetting）：目标波动较高时，回撤控制的机械削减频繁覆盖趋势信号的加仓指令，敞口的时变能力无法兑现。</w:t>
      </w:r>
    </w:p>
    <w:p>
      <w:pPr>
        <w:spacing w:before="0" w:after="60" w:line="360" w:lineRule="auto"/>
        <w:ind w:firstLine="480"/>
      </w:pPr>
      <w:r>
        <w:rPr>
          <w:rFonts w:ascii="Times New Roman" w:hAnsi="Times New Roman" w:eastAsia="宋体"/>
          <w:b w:val="0"/>
          <w:i w:val="0"/>
          <w:sz w:val="24"/>
        </w:rPr>
        <w:t>两条比较合起来给出完整的因果链：回撤控制先把平均敞口压低，再随着目标波动上升逐步抹平敞口的时变性。前者解释收益水平的整体下移，后者解释前沿为何由单调转为单峰，也是核心发现即内点最优的直接成因。若只有敞口被压低而时变性保持，前沿将是下移的单调曲线，不会出现内点最优。</w:t>
      </w:r>
    </w:p>
    <w:p>
      <w:pPr>
        <w:spacing w:before="240" w:after="100" w:line="360" w:lineRule="auto"/>
      </w:pPr>
      <w:r>
        <w:rPr>
          <w:rFonts w:ascii="Times New Roman" w:hAnsi="Times New Roman" w:eastAsia="黑体"/>
          <w:b/>
          <w:i w:val="0"/>
          <w:sz w:val="26"/>
        </w:rPr>
        <w:t>5.3 时点检验：回撤控制是否"减错了时点"？</w:t>
      </w:r>
    </w:p>
    <w:p>
      <w:pPr>
        <w:spacing w:before="0" w:after="60" w:line="360" w:lineRule="auto"/>
        <w:ind w:firstLine="480"/>
      </w:pPr>
      <w:r>
        <w:rPr>
          <w:rFonts w:ascii="Times New Roman" w:hAnsi="Times New Roman" w:eastAsia="宋体"/>
          <w:b w:val="0"/>
          <w:i w:val="0"/>
          <w:sz w:val="24"/>
        </w:rPr>
        <w:t>一个诱人的解释是：回撤控制的损失来自在错误时点减仓，即削减恰好发生在市场即将反弹之前。若该解释成立，那么改进方向就是优化回撤控制的触发规则。本节对这一解释做直接检验，并报告一个与本文预期相反、但必须如实呈现的结果。</w:t>
      </w:r>
    </w:p>
    <w:p>
      <w:pPr>
        <w:spacing w:before="0" w:after="60" w:line="360" w:lineRule="auto"/>
        <w:ind w:firstLine="480"/>
      </w:pPr>
      <w:r>
        <w:rPr>
          <w:rFonts w:ascii="Times New Roman" w:hAnsi="Times New Roman" w:eastAsia="宋体"/>
          <w:b w:val="0"/>
          <w:i w:val="0"/>
          <w:sz w:val="24"/>
        </w:rPr>
        <w:t>检验设计包含两项改进。其一是状态控制：若直接用策略自身净值的前瞻收益分组，会混入一个机械效应，重度减仓期策略仓位本就只有15%，前瞻收益自然偏低。为此本文同时报告未施加任何风控的参照组合（逆波动加权、满仓）在各组交易日之后的前瞻收益，它度量的是"这些时点之后市场本身怎样"。其二是统计推断：250个交易日的窗口在3210个交易日的样本中仅有约12.8个非重叠观测，组间均值差若不给出置信区间则毫无意义。本文采用 block bootstrap（block=21日，1000次），在每一次重抽中按重排后的收益序列重建净值、重算回撤档位、再计算前瞻收益，从而完整保留路径依赖。</w:t>
      </w:r>
    </w:p>
    <w:p>
      <w:pPr>
        <w:spacing w:before="200" w:after="60" w:line="276" w:lineRule="auto"/>
        <w:jc w:val="center"/>
      </w:pPr>
      <w:r>
        <w:rPr>
          <w:rFonts w:ascii="Times New Roman" w:hAnsi="Times New Roman" w:eastAsia="黑体"/>
          <w:b/>
          <w:i w:val="0"/>
          <w:sz w:val="21"/>
        </w:rPr>
        <w:t>表8　按回撤控制档位分组的后续收益（%）</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口径</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持有期(日)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无减仓</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轻度×0.70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中度×0.40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重度×0.15</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重度−无减仓(pp)</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0.611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0.764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−0.383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−0.440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7.667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9.502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+1.835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−0.687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1.487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−2.661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−5.821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14.800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13.211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11.786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15.248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+0.448</w:t>
            </w:r>
          </w:p>
        </w:tc>
      </w:tr>
    </w:tbl>
    <w:p>
      <w:pPr>
        <w:spacing w:before="0" w:after="60" w:line="360" w:lineRule="auto"/>
        <w:ind w:firstLine="480"/>
      </w:pPr>
      <w:r>
        <w:rPr>
          <w:rFonts w:ascii="Times New Roman" w:hAnsi="Times New Roman" w:eastAsia="宋体"/>
          <w:b w:val="0"/>
          <w:i w:val="0"/>
          <w:sz w:val="24"/>
        </w:rPr>
        <w:t>各组样本量：无减仓1252个交易日、轻度减仓863、中度减仓865、重度减仓229。</w:t>
      </w:r>
    </w:p>
    <w:p>
      <w:pPr>
        <w:spacing w:before="200" w:after="60" w:line="276" w:lineRule="auto"/>
        <w:jc w:val="center"/>
      </w:pPr>
      <w:r>
        <w:rPr>
          <w:rFonts w:ascii="Times New Roman" w:hAnsi="Times New Roman" w:eastAsia="黑体"/>
          <w:b/>
          <w:i w:val="0"/>
          <w:sz w:val="21"/>
        </w:rPr>
        <w:t>表9　重度减仓组与无减仓组后续收益之差的 block bootstrap 检验（block=21日，1000次）</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持有期(日)</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样本估计(pp)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bootstrap 均值(pp)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95%置信区间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p值</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[−1.210, +2.196]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[−2.169, +3.303]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0.730</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+1.835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+0.904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[−3.864, +5.619]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0.653</w:t>
            </w:r>
          </w:p>
        </w:tc>
      </w:tr>
    </w:tbl>
    <w:p>
      <w:pPr>
        <w:spacing w:before="0" w:after="60" w:line="360" w:lineRule="auto"/>
        <w:ind w:firstLine="480"/>
      </w:pPr>
      <w:r>
        <w:rPr>
          <w:rFonts w:ascii="Times New Roman" w:hAnsi="Times New Roman" w:eastAsia="宋体"/>
          <w:b/>
          <w:i w:val="0"/>
          <w:sz w:val="24"/>
        </w:rPr>
        <w:t>读数一（状态控制）：回撤控制在短中期是"减对了"的。</w:t>
      </w:r>
      <w:r>
        <w:rPr>
          <w:rFonts w:ascii="Times New Roman" w:hAnsi="Times New Roman" w:eastAsia="宋体"/>
          <w:b w:val="0"/>
          <w:i w:val="0"/>
          <w:sz w:val="24"/>
        </w:rPr>
        <w:t xml:space="preserve"> 在参照组合口径下，重度减仓期之后的20、40、60、120日市场前瞻收益分别为0.630%、0.172%、0.182%、1.793%，全部低于无减仓期的1.317%、2.833%、4.141%、7.614%，差值从−0.69个百分点扩大至−5.82个百分点。回撤控制识别出的确实是一段真实的弱势期，其时点判断在短中期内是正确的，"回撤控制减错了时点"这一解释因此被排除。</w:t>
      </w:r>
    </w:p>
    <w:p>
      <w:pPr>
        <w:spacing w:before="0" w:after="60" w:line="360" w:lineRule="auto"/>
        <w:ind w:firstLine="480"/>
      </w:pPr>
      <w:r>
        <w:rPr>
          <w:rFonts w:ascii="Times New Roman" w:hAnsi="Times New Roman" w:eastAsia="宋体"/>
          <w:b/>
          <w:i w:val="0"/>
          <w:sz w:val="24"/>
        </w:rPr>
        <w:t>读数二（统计推断）：250日窗口上的反转不具统计显著性。</w:t>
      </w:r>
      <w:r>
        <w:rPr>
          <w:rFonts w:ascii="Times New Roman" w:hAnsi="Times New Roman" w:eastAsia="宋体"/>
          <w:b w:val="0"/>
          <w:i w:val="0"/>
          <w:sz w:val="24"/>
        </w:rPr>
        <w:t xml:space="preserve"> 策略净值口径下，重度减仓期之后250日的收益为9.502%，高于无减仓期的7.667%，相差1.835pp。但 block bootstrap 给出的95%置信区间为[−3.864, +5.619]，跨越零，p=0.653；60日与120日窗口同样不显著，p值分别为0.734与0.730。bootstrap 均值仅0.904pp，远低于样本估计的1.835pp，说明样本中的这一反转很可能由少数几个历史事件驱动，例如2015年股灾后的修复，而非一种可重复的规律。</w:t>
      </w:r>
    </w:p>
    <w:p>
      <w:pPr>
        <w:spacing w:before="0" w:after="60" w:line="360" w:lineRule="auto"/>
        <w:ind w:firstLine="480"/>
      </w:pPr>
      <w:r>
        <w:rPr>
          <w:rFonts w:ascii="Times New Roman" w:hAnsi="Times New Roman" w:eastAsia="宋体"/>
          <w:b/>
          <w:i w:val="0"/>
          <w:sz w:val="24"/>
        </w:rPr>
        <w:t>本文据此撤回一项表述。</w:t>
      </w:r>
      <w:r>
        <w:rPr>
          <w:rFonts w:ascii="Times New Roman" w:hAnsi="Times New Roman" w:eastAsia="宋体"/>
          <w:b w:val="0"/>
          <w:i w:val="0"/>
          <w:sz w:val="24"/>
        </w:rPr>
        <w:t xml:space="preserve"> 早期版本曾将表8的250日结果概括为"削减恰好发生在反弹最丰厚的前夜"。该表述在统计上不成立，予以撤回。可以支持的结论是：本文的证据不足以判定"回撤控制减错了时点"。</w:t>
      </w:r>
    </w:p>
    <w:p>
      <w:pPr>
        <w:spacing w:before="0" w:after="60" w:line="360" w:lineRule="auto"/>
        <w:ind w:firstLine="480"/>
      </w:pPr>
      <w:r>
        <w:rPr>
          <w:rFonts w:ascii="Times New Roman" w:hAnsi="Times New Roman" w:eastAsia="宋体"/>
          <w:b w:val="0"/>
          <w:i w:val="0"/>
          <w:sz w:val="24"/>
        </w:rPr>
        <w:t>那么收益损失来自何处？答案回到第5.2节：损失来自敞口被压制后的复利损失与棘轮效应，而非时点判断失误。即使回撤控制每一次都"减对了"，而读数一已证明其在短中期确实如此，被压至15%的仓位也无法从后续的修复中获益。这正是组合保险文献中"棘轮效应"的含义：触及底线后敞口被长期压制，参与反弹的能力丧失。假说H4（敞口压制而非时点错误）得到支持，而本文最初设想的"错误时点"假说被证伪。</w:t>
      </w:r>
    </w:p>
    <w:p>
      <w:pPr>
        <w:spacing w:before="0" w:after="60" w:line="360" w:lineRule="auto"/>
        <w:ind w:firstLine="480"/>
      </w:pPr>
      <w:r>
        <w:rPr>
          <w:rFonts w:ascii="Times New Roman" w:hAnsi="Times New Roman" w:eastAsia="宋体"/>
          <w:b w:val="0"/>
          <w:i w:val="0"/>
          <w:sz w:val="24"/>
        </w:rPr>
        <w:t>这一修正对本文的政策含义有实质影响：若损失来自时点错误，改进方向应是优化触发规则；若损失来自敞口压制，方向则是审慎设定回撤阈值本身，因为只要阈值足够严格，无论触发规则多么精准，压制都会发生。第七节的成本测算与第八节的政策建议均建立在后者之上。</w:t>
      </w:r>
    </w:p>
    <w:p>
      <w:pPr>
        <w:spacing w:before="240" w:after="100" w:line="360" w:lineRule="auto"/>
      </w:pPr>
      <w:r>
        <w:rPr>
          <w:rFonts w:ascii="Times New Roman" w:hAnsi="Times New Roman" w:eastAsia="黑体"/>
          <w:b/>
          <w:i w:val="0"/>
          <w:sz w:val="26"/>
        </w:rPr>
        <w:t>5.4 回撤控制成本的干净分离：固定敞口实验</w:t>
      </w:r>
    </w:p>
    <w:p>
      <w:pPr>
        <w:spacing w:before="0" w:after="60" w:line="360" w:lineRule="auto"/>
        <w:ind w:firstLine="480"/>
      </w:pPr>
      <w:r>
        <w:rPr>
          <w:rFonts w:ascii="Times New Roman" w:hAnsi="Times New Roman" w:eastAsia="宋体"/>
          <w:b w:val="0"/>
          <w:i w:val="0"/>
          <w:sz w:val="24"/>
        </w:rPr>
        <w:t>第5.1—5.3节的证据都来自"两层风控同时开启"的设定，因此存在一个混杂：观测到的成本究竟是回撤控制的单独作用，还是两层叠加后的产物？本节用一个干净的设定把回撤控制的单独作用分离出来。</w:t>
      </w:r>
    </w:p>
    <w:p>
      <w:pPr>
        <w:spacing w:before="0" w:after="60" w:line="360" w:lineRule="auto"/>
        <w:ind w:firstLine="480"/>
      </w:pPr>
      <w:r>
        <w:rPr>
          <w:rFonts w:ascii="Times New Roman" w:hAnsi="Times New Roman" w:eastAsia="宋体"/>
          <w:b/>
          <w:i w:val="0"/>
          <w:sz w:val="24"/>
        </w:rPr>
        <w:t>实验设计。</w:t>
      </w:r>
      <w:r>
        <w:rPr>
          <w:rFonts w:ascii="Times New Roman" w:hAnsi="Times New Roman" w:eastAsia="宋体"/>
          <w:b w:val="0"/>
          <w:i w:val="0"/>
          <w:sz w:val="24"/>
        </w:rPr>
        <w:t xml:space="preserve"> 将目标波动设为100%，使波动率缩放 σ*/σ̂_p 在任何状态下都大于1，从而恒不绑定，直接以杠杆上限 Ē 把敞口固定在 E ∈ {0.25, 0.44, 0.70, 0.85, 1.00}。此时第一层风控被完全关闭，回撤控制是唯一的削减来源。战术信号（趋势、价格分位、M1-M2剪刀差）保持不变，以确保与正文设定的可比性。</w:t>
      </w:r>
    </w:p>
    <w:p>
      <w:pPr>
        <w:spacing w:before="200" w:after="60" w:line="276" w:lineRule="auto"/>
        <w:jc w:val="center"/>
      </w:pPr>
      <w:r>
        <w:rPr>
          <w:rFonts w:ascii="Times New Roman" w:hAnsi="Times New Roman" w:eastAsia="黑体"/>
          <w:b/>
          <w:i w:val="0"/>
          <w:sz w:val="21"/>
        </w:rPr>
        <w:t>表10　固定敞口下回撤控制的单独成本（波动率目标层关闭）</w:t>
      </w:r>
    </w:p>
    <w:tbl>
      <w:tblPr>
        <w:tblW w:type="auto" w:w="0"/>
        <w:jc w:val="center"/>
        <w:tblLayout w:type="autofit"/>
        <w:tblLook w:firstColumn="1" w:firstRow="1" w:lastColumn="0" w:lastRow="0" w:noHBand="0" w:noVBand="1" w:val="04A0"/>
        <w:tblW w:w="5000" w:type="pct"/>
      </w:tblPr>
      <w:tblGrid>
        <w:gridCol w:w="924"/>
        <w:gridCol w:w="924"/>
        <w:gridCol w:w="924"/>
        <w:gridCol w:w="924"/>
        <w:gridCol w:w="924"/>
        <w:gridCol w:w="924"/>
        <w:gridCol w:w="924"/>
        <w:gridCol w:w="924"/>
        <w:gridCol w:w="924"/>
      </w:tblGrid>
      <w:tr>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固定敞口 E</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DC成本(pp)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回撤改善(pp)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DC关夏普</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DC开夏普</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1.41</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0.44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1.28</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0.70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−17.87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12.59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r>
      <w:tr>
        <w:tc>
          <w:tcPr>
            <w:tcW w:type="dxa" w:w="924"/>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1.00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3.89</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7.37</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−26.24</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−6.76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19.48</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0.69</w:t>
            </w:r>
          </w:p>
        </w:tc>
      </w:tr>
    </w:tbl>
    <w:p>
      <w:pPr>
        <w:spacing w:before="0" w:after="60" w:line="360" w:lineRule="auto"/>
        <w:ind w:firstLine="480"/>
      </w:pPr>
      <w:r>
        <w:rPr>
          <w:rFonts w:ascii="Times New Roman" w:hAnsi="Times New Roman" w:eastAsia="宋体"/>
          <w:b w:val="0"/>
          <w:i w:val="0"/>
          <w:sz w:val="24"/>
        </w:rPr>
        <w:t>回撤控制的成本随可削减的敞口单调放大：从 E=0.25 时的0.56个百分点升至 E=1.00 时的7.37个百分点，回撤改善同步从1.09个百分点升至19.48个百分点。这一单调性给出了本文核心机制最直接的解释，即回撤控制的成本取决于"有多少敞口可供削减"。在第4.2节的设定中，σ* 越高则目标敞口越高，可供削减的敞口越多，成本也就越大。前沿之所以在高端弯折，不是因为高波动本身有害，而是因为高目标波动把更多敞口送到了回撤控制的削减之下。</w:t>
      </w:r>
    </w:p>
    <w:p>
      <w:pPr>
        <w:spacing w:before="0" w:after="60" w:line="360" w:lineRule="auto"/>
        <w:ind w:firstLine="480"/>
      </w:pPr>
      <w:r>
        <w:rPr>
          <w:rFonts w:ascii="Times New Roman" w:hAnsi="Times New Roman" w:eastAsia="宋体"/>
          <w:b w:val="0"/>
          <w:i w:val="0"/>
          <w:sz w:val="24"/>
        </w:rPr>
        <w:t>成本与收益的交换比在满仓处急剧恶化。E 从0.25升至0.85，每获得1个百分点的回撤改善需付出0.31至0.51个百分点的年化收益；而在 E=1.00 处，19.48个百分点的回撤改善对应7.37个百分点的收益损失，交换比为0.38，看似改善，夏普比率却从0.80降至0.69。这是全表唯一一处回撤控制降低风险调整后收益的情形：当底层敞口已满仓、无处可退时，回撤控制的削减失去了"用收益换稳健"的合理性。</w:t>
      </w:r>
    </w:p>
    <w:p>
      <w:pPr>
        <w:spacing w:before="0" w:after="60" w:line="360" w:lineRule="auto"/>
        <w:ind w:firstLine="480"/>
      </w:pPr>
      <w:r>
        <w:rPr>
          <w:rFonts w:ascii="Times New Roman" w:hAnsi="Times New Roman" w:eastAsia="宋体"/>
          <w:b w:val="0"/>
          <w:i w:val="0"/>
          <w:sz w:val="24"/>
        </w:rPr>
        <w:t>本实验同时构成对"两层同步"假说的检验。若本文的核心机制确实依赖两层风控的同步削减（命题1），那么在关闭第一层后，成本应当显著小于两层同开时的水平。结果相反：两层同开时 σ*=12% 的成本为5.91个百分点，年化从11.28%降至5.37%，而固定敞口 E=1.00 时的成本达7.37个百分点，后者更高。回撤控制的成本主要不来自"两层同步"，而来自"削减本身的规模"，两层同步只决定削减发生的时点分布。这与第5.1节观察到的低相关性一致，corr 最高仅0.179，也与第6.7节阈值放宽后前沿恢复单调的现象相符。</w:t>
      </w:r>
    </w:p>
    <w:p>
      <w:pPr>
        <w:spacing w:before="240" w:after="100" w:line="360" w:lineRule="auto"/>
      </w:pPr>
      <w:r>
        <w:rPr>
          <w:rFonts w:ascii="Times New Roman" w:hAnsi="Times New Roman" w:eastAsia="黑体"/>
          <w:b/>
          <w:i w:val="0"/>
          <w:sz w:val="26"/>
        </w:rPr>
        <w:t>5.5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下表显示，当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表11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命题1（乘性叠加）。</w:t>
      </w:r>
      <w:r>
        <w:rPr>
          <w:rFonts w:ascii="Times New Roman" w:hAnsi="Times New Roman" w:eastAsia="宋体"/>
          <w:b w:val="0"/>
          <w:i w:val="0"/>
          <w:sz w:val="24"/>
        </w:rPr>
        <w:t xml:space="preserve"> 模拟显示 corr(cut_V, cut_D) 在+0.128至+0.156之间，为正；实证中同一统计量在σ</w:t>
      </w:r>
      <w:r>
        <w:rPr>
          <w:rFonts w:ascii="Times New Roman" w:hAnsi="Times New Roman" w:eastAsia="宋体"/>
          <w:b w:val="0"/>
          <w:i w:val="0"/>
          <w:sz w:val="24"/>
        </w:rPr>
        <w:t>*∈{3%, 5.5%, 9%, 12%}上为+0.067、+0.179、+0.082、+0.046，符号一致但量级更小。这一差异有明确来源：模拟中高波动状态与净值下跌被设定为完全同源，而现实中二者的重合只是部分的，因此模拟高估了两层削减的同步性。平均回撤控制乘子 E[φ] 随 σ*</w:t>
      </w:r>
      <w:r>
        <w:rPr>
          <w:rFonts w:ascii="Times New Roman" w:hAnsi="Times New Roman" w:eastAsia="宋体"/>
          <w:b w:val="0"/>
          <w:i w:val="0"/>
          <w:sz w:val="24"/>
        </w:rPr>
        <w:t xml:space="preserve"> 上升而从0.525单调降至0.222，再次指向削减规模随目标波动放大这一机制。</w:t>
      </w:r>
    </w:p>
    <w:p>
      <w:pPr>
        <w:spacing w:before="0" w:after="60" w:line="360" w:lineRule="auto"/>
        <w:ind w:firstLine="480"/>
      </w:pPr>
      <w:r>
        <w:rPr>
          <w:rFonts w:ascii="Times New Roman" w:hAnsi="Times New Roman" w:eastAsia="宋体"/>
          <w:b/>
          <w:i w:val="0"/>
          <w:sz w:val="24"/>
        </w:rPr>
        <w:t>推论（杠杆能否化解）。</w:t>
      </w:r>
      <w:r>
        <w:rPr>
          <w:rFonts w:ascii="Times New Roman" w:hAnsi="Times New Roman" w:eastAsia="宋体"/>
          <w:b w:val="0"/>
          <w:i w:val="0"/>
          <w:sz w:val="24"/>
        </w:rPr>
        <w:t xml:space="preserve"> 下表显示，在回撤控制开启时，将 Ē 从1放松至2，σ*=0.16时的年化收益仅从0.99%升至1.33%，提升34%；而在回撤控制关闭时，同样放松杠杆使年化从4.04%升至5.86%，提升45%。更重要的是，内点最优在 Ē=2 时依然存在，这与第6.5节的实证结果一致，证实了下述推论：由于回撤控制的削减是乘性的，杠杆只能放大第一层的产出，无法对抗第二层的削减比例。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表12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关于命题2（内点最优）的说明。</w:t>
      </w:r>
      <w:r>
        <w:rPr>
          <w:rFonts w:ascii="Times New Roman" w:hAnsi="Times New Roman" w:eastAsia="宋体"/>
          <w:b w:val="0"/>
          <w:i w:val="0"/>
          <w:sz w:val="24"/>
        </w:rPr>
        <w:t xml:space="preserve"> 模拟中，回撤控制对"收益-目标波动"斜率的压缩极为显著：关闭回撤控制时，σ*从0.055升至0.16带来年化收益增加1.80个百分点；开启后仅增加0.21个百分点，边际收益被压缩88%。但模拟未复现实证中观察到的绝对下降，即内点最优。</w:t>
      </w:r>
    </w:p>
    <w:p>
      <w:pPr>
        <w:spacing w:before="0" w:after="60" w:line="360" w:lineRule="auto"/>
        <w:ind w:firstLine="480"/>
      </w:pPr>
      <w:r>
        <w:rPr>
          <w:rFonts w:ascii="Times New Roman" w:hAnsi="Times New Roman" w:eastAsia="宋体"/>
          <w:b w:val="0"/>
          <w:i w:val="0"/>
          <w:sz w:val="24"/>
        </w:rPr>
        <w:t>未能复现的原因在于模拟的简化：单一风险资产缺乏实证中的跨资产分散，回撤更深、回撤控制触发更早，经验条件 A2（敞口饱和）从一开始就成立，此时前沿自始至终平坦，观察不到先升后降。据此，内点最优的绝对形态需要"低目标波动区回撤控制基本不触发"这一前提，而该前提在单一资产设定下不成立。无论何种情形，"提高风险预算的边际收益被大幅压缩"这一核心结论在模拟与实证中均成立；也正因如此，本文在2.4.3节将命题2 明确表述为依赖 A2、A3 两项经验条件的比较静态命题，而非存在性定理。</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表13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val="0"/>
          <w:i w:val="0"/>
          <w:sz w:val="24"/>
        </w:rPr>
        <w:t>剔除纳指后，年化收益完全不变，仍为6.47%，夏普比率反而升至1.45。同时剔除纳指与恒生两个境外资产后，年化仍达5.94%、夏普1.40。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表14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优于后半段，年化7.66%对5.31%。这一衰减需要正视：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表15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在15个邻近参数组合上，年化收益区间为5.62%—6.79%，最大回撤区间为−3.99%至−4.65%，夏普比率1.31—1.49。参数平原上无尖峰，所选参数（σ*=5.5%,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表16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注：本表"校正后"指对原始价格序列做异常点修复后的年化；正文表1与3.1节采用前复权全序列口径，纳指ETF对应21.13%。两口径相差约0.1个百分点，源于序列修复方式的差异，不影响本表结论的方向与量级。</w:t>
      </w:r>
    </w:p>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在2015-04-15造成单日+248.55%的假涨。若不做校正，纳指ETF的年化收益将被低估14.35个百分点，中证500ETF将被高估8.80个百分点，这足以颠倒任何基于ETF的实证结论。使用中国ETF数据时，扫描 |日收益|&gt;15% 的异常点应当成为估计年化收益之前的标准步骤。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表17检验理论推论，即放松杠杆约束能否化解内点最优。</w:t>
      </w:r>
    </w:p>
    <w:p>
      <w:pPr>
        <w:spacing w:before="200" w:after="60" w:line="276" w:lineRule="auto"/>
        <w:jc w:val="center"/>
      </w:pPr>
      <w:r>
        <w:rPr>
          <w:rFonts w:ascii="Times New Roman" w:hAnsi="Times New Roman" w:eastAsia="黑体"/>
          <w:b/>
          <w:i w:val="0"/>
          <w:sz w:val="21"/>
        </w:rPr>
        <w:t>表17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内点最优在 Ē=2 时依然存在，峰值仍出现在σ*=5.5%，这与命题1的推论一致：回撤控制的乘性削减无法被杠杆化解。但杠杆确实缓解了衰减幅度，末端衰减从0.67pp（Ē=1）降至0.14pp（Ē=2）。原因在于，当目标波动较高时，波动率目标层需要更大的敞口，而 Ē=1 会截断这一需求；放松至 Ē=2 后，第一层的功能恢复，部分抵消了第二层的削减。</w:t>
      </w:r>
    </w:p>
    <w:p>
      <w:pPr>
        <w:spacing w:before="0" w:after="60" w:line="360" w:lineRule="auto"/>
        <w:ind w:firstLine="480"/>
      </w:pPr>
      <w:r>
        <w:rPr>
          <w:rFonts w:ascii="Times New Roman" w:hAnsi="Times New Roman" w:eastAsia="宋体"/>
          <w:b w:val="0"/>
          <w:i w:val="0"/>
          <w:sz w:val="24"/>
        </w:rPr>
        <w:t>这一结果同时具有实践含义：对于能够使用杠杆的机构，回撤控制的收益侵蚀较轻；对于不能使用杠杆的零售投资者，侵蚀最为严重。这构成了本文政策含义的基础。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已指出中国市场的月度横截面动量不显著，这加重了上述担忧。</w:t>
      </w:r>
    </w:p>
    <w:p>
      <w:pPr>
        <w:spacing w:before="0" w:after="60" w:line="360" w:lineRule="auto"/>
        <w:ind w:firstLine="480"/>
      </w:pPr>
      <w:r>
        <w:rPr>
          <w:rFonts w:ascii="Times New Roman" w:hAnsi="Times New Roman" w:eastAsia="宋体"/>
          <w:b w:val="0"/>
          <w:i w:val="0"/>
          <w:sz w:val="24"/>
        </w:rPr>
        <w:t>为排除这一可能，本文关闭全部战术信号，仅保留纯风险 overlay，即以逆波动率加权构建资产组合、按目标波动缩放敞口、并可叠加回撤控制。此时策略不含任何预测成分，纯粹是对已实现风险的机械反应。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表18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关闭回撤控制时，前沿依然单调递增，从5.28%升至11.96%，与含信号的情形完全一致，分岔与信号无关。开启回撤控制时，前沿转为单峰：峰值6.87%出现在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=15%），末端衰减1.12pp（图3）。也就是说，分岔在完全不含预测成分的条件下依然成立。</w:t>
      </w:r>
    </w:p>
    <w:p>
      <w:pPr>
        <w:spacing w:before="0" w:after="60" w:line="360" w:lineRule="auto"/>
        <w:ind w:firstLine="480"/>
      </w:pPr>
      <w:r>
        <w:rPr>
          <w:rFonts w:ascii="Times New Roman" w:hAnsi="Times New Roman" w:eastAsia="宋体"/>
          <w:b w:val="0"/>
          <w:i w:val="0"/>
          <w:sz w:val="24"/>
        </w:rPr>
        <w:t>回撤控制的成本高度集中于高目标波动区。低目标波动区（σ</w:t>
      </w:r>
      <w:r>
        <w:rPr>
          <w:rFonts w:ascii="Times New Roman" w:hAnsi="Times New Roman" w:eastAsia="宋体"/>
          <w:b w:val="0"/>
          <w:i w:val="0"/>
          <w:sz w:val="24"/>
        </w:rPr>
        <w:t>*≤5.5%）的年均收益仅从6.18%降至5.75%，相差0.43pp；而高目标波动区（σ*</w:t>
      </w:r>
      <w:r>
        <w:rPr>
          <w:rFonts w:ascii="Times New Roman" w:hAnsi="Times New Roman" w:eastAsia="宋体"/>
          <w:b w:val="0"/>
          <w:i w:val="0"/>
          <w:sz w:val="24"/>
        </w:rPr>
        <w:t>≥10%）从10.98%降至5.93%，相差5.05pp，约为前者的12倍。成本为何如此集中，决定了内点最优是否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时峰值回到网格末端，7.76%（σ*=15%），说明杠杆虽不能消除分岔，但足以使其在本样本内不再显著。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这一检验同时回应了第2.3节提出的本土证据担忧，即即使在中国这样一个趋势信号偏弱的市场中，该机制依然成立。</w:t>
      </w:r>
    </w:p>
    <w:p>
      <w:pPr>
        <w:spacing w:before="240" w:after="100" w:line="360" w:lineRule="auto"/>
      </w:pPr>
      <w:r>
        <w:rPr>
          <w:rFonts w:ascii="Times New Roman" w:hAnsi="Times New Roman" w:eastAsia="黑体"/>
          <w:b/>
          <w:i w:val="0"/>
          <w:sz w:val="26"/>
        </w:rPr>
        <w:t>6.7 参数与成本敏感性：结论的稳健性边界</w:t>
      </w:r>
    </w:p>
    <w:p>
      <w:pPr>
        <w:spacing w:before="0" w:after="60" w:line="360" w:lineRule="auto"/>
        <w:ind w:firstLine="480"/>
      </w:pPr>
      <w:r>
        <w:rPr>
          <w:rFonts w:ascii="Times New Roman" w:hAnsi="Times New Roman" w:eastAsia="宋体"/>
          <w:b w:val="0"/>
          <w:i w:val="0"/>
          <w:sz w:val="24"/>
        </w:rPr>
        <w:t>前文各项检验（剔除资产、子样本、参数平原、数据校正、放松杠杆、关闭信号）考察的是结论对数据与环境变化的稳健性。本节考察其余几项尚未处理的敏感性，其中第一项给出的结果是否定性的，本文如实报告。</w:t>
      </w:r>
    </w:p>
    <w:p>
      <w:pPr>
        <w:spacing w:before="0" w:after="60" w:line="360" w:lineRule="auto"/>
        <w:ind w:firstLine="480"/>
      </w:pPr>
      <w:r>
        <w:rPr>
          <w:rFonts w:ascii="Times New Roman" w:hAnsi="Times New Roman" w:eastAsia="宋体"/>
          <w:b w:val="0"/>
          <w:i w:val="0"/>
          <w:sz w:val="24"/>
        </w:rPr>
        <w:t>前沿的单峰形状是否只是"阈值恰好设成了基准档"的产物？本文以四组触发/退出阈值与仓位乘子重跑前沿扫描，结果见表19。</w:t>
      </w:r>
    </w:p>
    <w:p>
      <w:pPr>
        <w:spacing w:before="200" w:after="60" w:line="276" w:lineRule="auto"/>
        <w:jc w:val="center"/>
      </w:pPr>
      <w:r>
        <w:rPr>
          <w:rFonts w:ascii="Times New Roman" w:hAnsi="Times New Roman" w:eastAsia="黑体"/>
          <w:b/>
          <w:i w:val="0"/>
          <w:sz w:val="21"/>
        </w:rPr>
        <w:t>表19　回撤控制阈值的敏感性：前沿形状是否依赖阈值</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参数组（触发线；仓位乘子）</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基准（−1.5/−2.5/−3.5%；×0.70/0.40/0.15）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严格（−1/−2/−3%；×0.60/0.30/0.10）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宽松（−2/−4/−6%；×0.80/0.50/0.25）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极宽（−3/−5/−8%；×0.85/0.60/0.35）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r>
    </w:tbl>
    <w:p>
      <w:pPr>
        <w:spacing w:before="0" w:after="60" w:line="360" w:lineRule="auto"/>
        <w:ind w:firstLine="480"/>
      </w:pPr>
      <w:r>
        <w:rPr>
          <w:rFonts w:ascii="Times New Roman" w:hAnsi="Times New Roman" w:eastAsia="宋体"/>
          <w:b w:val="0"/>
          <w:i w:val="0"/>
          <w:sz w:val="24"/>
        </w:rPr>
        <w:t>结果须分两面解读。在全部四组阈值下，关闭回撤控制时的前沿始终单调递增，"DC关内点最优"一列全为"否"，说明"无回撤控制则前沿单调"这一基准事实不受阈值影响，本文的对照组是稳定的。但被检验的一面不成立：内点最优仅在基准组与严格组出现，宽松组与极宽组的前沿仍单调递增；且即便在出现内点最优的两组中，峰值位置也不一致，分别为5.5%与9.0%，末端衰减幅度相差三倍以上，1.10pp对0.33pp。</w:t>
      </w:r>
      <w:r>
        <w:rPr>
          <w:rFonts w:ascii="Times New Roman" w:hAnsi="Times New Roman" w:eastAsia="宋体"/>
          <w:b/>
          <w:i w:val="0"/>
          <w:sz w:val="24"/>
        </w:rPr>
        <w:t>因此本文不主张"叠加回撤控制必然产生内点最优"。</w:t>
      </w:r>
    </w:p>
    <w:p>
      <w:pPr>
        <w:spacing w:before="200" w:after="60" w:line="240" w:lineRule="auto"/>
        <w:jc w:val="center"/>
      </w:pPr>
      <w:r>
        <w:drawing>
          <wp:inline xmlns:a="http://schemas.openxmlformats.org/drawingml/2006/main" xmlns:pic="http://schemas.openxmlformats.org/drawingml/2006/picture">
            <wp:extent cx="5277600" cy="1906981"/>
            <wp:docPr id="3" name="Picture 3"/>
            <wp:cNvGraphicFramePr>
              <a:graphicFrameLocks noChangeAspect="1"/>
            </wp:cNvGraphicFramePr>
            <a:graphic>
              <a:graphicData uri="http://schemas.openxmlformats.org/drawingml/2006/picture">
                <pic:pic>
                  <pic:nvPicPr>
                    <pic:cNvPr id="0" name="docx_fig4.png"/>
                    <pic:cNvPicPr/>
                  </pic:nvPicPr>
                  <pic:blipFill>
                    <a:blip r:embed="rId13"/>
                    <a:stretch>
                      <a:fillRect/>
                    </a:stretch>
                  </pic:blipFill>
                  <pic:spPr>
                    <a:xfrm>
                      <a:off x="0" y="0"/>
                      <a:ext cx="5277600" cy="1906981"/>
                    </a:xfrm>
                    <a:prstGeom prst="rect"/>
                  </pic:spPr>
                </pic:pic>
              </a:graphicData>
            </a:graphic>
          </wp:inline>
        </w:drawing>
      </w:r>
    </w:p>
    <w:p>
      <w:pPr>
        <w:spacing w:before="40" w:after="200" w:line="276" w:lineRule="auto"/>
        <w:jc w:val="center"/>
      </w:pPr>
      <w:r>
        <w:rPr>
          <w:rFonts w:ascii="Times New Roman" w:hAnsi="Times New Roman" w:eastAsia="黑体"/>
          <w:b/>
          <w:i w:val="0"/>
          <w:sz w:val="21"/>
        </w:rPr>
        <w:t>图4　回撤控制成本的分离与条件性（A：表10；B：表19）</w:t>
      </w:r>
    </w:p>
    <w:p>
      <w:pPr>
        <w:spacing w:before="0" w:after="60" w:line="360" w:lineRule="auto"/>
        <w:ind w:firstLine="480"/>
      </w:pPr>
      <w:r>
        <w:rPr>
          <w:rFonts w:ascii="Times New Roman" w:hAnsi="Times New Roman" w:eastAsia="宋体"/>
          <w:b w:val="0"/>
          <w:i w:val="0"/>
          <w:sz w:val="24"/>
        </w:rPr>
        <w:t>这一结果落在本文框架之内，并非异常。命题2 把内点最优建立在经验条件 A2（有效敞口随 σ</w:t>
      </w:r>
      <w:r>
        <w:rPr>
          <w:rFonts w:ascii="Times New Roman" w:hAnsi="Times New Roman" w:eastAsia="宋体"/>
          <w:b w:val="0"/>
          <w:i w:val="0"/>
          <w:sz w:val="24"/>
        </w:rPr>
        <w:t>* 饱和）之上：回撤阈值放宽到 −2%/−4%/−6% 及以上时，触发频率大幅下降，有效敞口随 σ*</w:t>
      </w:r>
      <w:r>
        <w:rPr>
          <w:rFonts w:ascii="Times New Roman" w:hAnsi="Times New Roman" w:eastAsia="宋体"/>
          <w:b w:val="0"/>
          <w:i w:val="0"/>
          <w:sz w:val="24"/>
        </w:rPr>
        <w:t xml:space="preserve"> 持续增长，A2 失效，前沿自然恢复单调。阈值敏感性检验验证的正是命题2 的条件性：本文的框架有能力预测"在何种情形下现象会消失"，而不只是拟合已观测到的现象。</w:t>
      </w:r>
    </w:p>
    <w:p>
      <w:pPr>
        <w:spacing w:before="0" w:after="60" w:line="360" w:lineRule="auto"/>
        <w:ind w:firstLine="480"/>
      </w:pPr>
      <w:r>
        <w:rPr>
          <w:rFonts w:ascii="Times New Roman" w:hAnsi="Times New Roman" w:eastAsia="宋体"/>
          <w:b w:val="0"/>
          <w:i w:val="0"/>
          <w:sz w:val="24"/>
        </w:rPr>
        <w:t>这一边界同时具有实务含义：现实中"固收+"产品的回撤承诺（多为"年度不亏损"或"最大回撤不超过5%"）对应的正是本文的严格区间，本文结论对其适用；而对回撤容忍度较高（如−8%以上）的产品，回撤控制的成本显著更低。</w:t>
      </w:r>
    </w:p>
    <w:p>
      <w:pPr>
        <w:spacing w:before="0" w:after="60" w:line="360" w:lineRule="auto"/>
        <w:ind w:firstLine="480"/>
      </w:pPr>
      <w:r>
        <w:rPr>
          <w:rFonts w:ascii="Times New Roman" w:hAnsi="Times New Roman" w:eastAsia="宋体"/>
          <w:b w:val="0"/>
          <w:i w:val="0"/>
          <w:sz w:val="24"/>
        </w:rPr>
        <w:t>交易成本是第二项敏感性。本文主结果按单边万三计费，这一假设若被放松，内点最优是否还成立？表20给出万六与万十二的结果。</w:t>
      </w:r>
    </w:p>
    <w:p>
      <w:pPr>
        <w:spacing w:before="200" w:after="60" w:line="276" w:lineRule="auto"/>
        <w:jc w:val="center"/>
      </w:pPr>
      <w:r>
        <w:rPr>
          <w:rFonts w:ascii="Times New Roman" w:hAnsi="Times New Roman" w:eastAsia="黑体"/>
          <w:b/>
          <w:i w:val="0"/>
          <w:sz w:val="21"/>
        </w:rPr>
        <w:t>表20　交易成本敏感性（DC开）</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交易成本</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末端衰减(pp)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内点最优</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万三（基准）</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万六</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万十二</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2.14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是</w:t>
            </w:r>
          </w:p>
        </w:tc>
      </w:tr>
    </w:tbl>
    <w:p>
      <w:pPr>
        <w:spacing w:before="0" w:after="60" w:line="360" w:lineRule="auto"/>
        <w:ind w:firstLine="480"/>
      </w:pPr>
      <w:r>
        <w:rPr>
          <w:rFonts w:ascii="Times New Roman" w:hAnsi="Times New Roman" w:eastAsia="宋体"/>
          <w:b w:val="0"/>
          <w:i w:val="0"/>
          <w:sz w:val="24"/>
        </w:rPr>
        <w:t>结论对交易成本假设是稳健的，且方向明确：成本越高，内点最优越明显。当单边成本提高到万十二，即为基准的4倍、已接近ETF场内交易成本的上限时，峰值位置仍稳定在σ*=5.5%，但末端衰减从1.10pp扩大至2.14pp。其机制是直接的——回撤控制在高目标波动区的触发更频繁，换手更高，因而对交易成本更敏感；第6.6节已报告本样本内年换手率最高达3.03倍。可见交易成本放大而非削弱本文识别的机制。</w:t>
      </w:r>
    </w:p>
    <w:p>
      <w:pPr>
        <w:spacing w:before="0" w:after="60" w:line="360" w:lineRule="auto"/>
        <w:ind w:firstLine="480"/>
      </w:pPr>
      <w:r>
        <w:rPr>
          <w:rFonts w:ascii="Times New Roman" w:hAnsi="Times New Roman" w:eastAsia="宋体"/>
          <w:b w:val="0"/>
          <w:i w:val="0"/>
          <w:sz w:val="24"/>
        </w:rPr>
        <w:t>除回撤阈值外，本文还检验了三类设定：波动率估计窗口（资产层60日改120日、组合协方差250日改125日）、调仓频率（月度改双周与季度）、以及回撤控制的函数形式（三档滞回改为连续线性 ramp，令 D=−3.5% 时 φ=0.15 以保持与基准档位一致）。每个变体均重跑前沿扫描。</w:t>
      </w:r>
    </w:p>
    <w:p>
      <w:pPr>
        <w:spacing w:before="200" w:after="60" w:line="276" w:lineRule="auto"/>
        <w:jc w:val="center"/>
      </w:pPr>
      <w:r>
        <w:rPr>
          <w:rFonts w:ascii="Times New Roman" w:hAnsi="Times New Roman" w:eastAsia="黑体"/>
          <w:b/>
          <w:i w:val="0"/>
          <w:sz w:val="21"/>
        </w:rPr>
        <w:t>表21　估计方法、调仓频率与回撤控制形式的敏感性</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变体</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σ=12%处成本(pp)</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基准（月度/60日/250日/三档滞回）</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资产波动窗120日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组合协方差窗125日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3.80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双周调仓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5.92</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季度调仓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4.10</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连续线性 ramp</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4.25</w:t>
            </w:r>
          </w:p>
        </w:tc>
      </w:tr>
    </w:tbl>
    <w:p>
      <w:pPr>
        <w:spacing w:before="0" w:after="60" w:line="360" w:lineRule="auto"/>
        <w:ind w:firstLine="480"/>
      </w:pPr>
      <w:r>
        <w:rPr>
          <w:rFonts w:ascii="Times New Roman" w:hAnsi="Times New Roman" w:eastAsia="宋体"/>
          <w:b w:val="0"/>
          <w:i w:val="0"/>
          <w:sz w:val="24"/>
        </w:rPr>
        <w:t>注：末列为 σ*=12% 处"DC关年化 − DC开年化"，度量回撤控制在高目标波动区的总成本。</w:t>
      </w:r>
    </w:p>
    <w:p>
      <w:pPr>
        <w:spacing w:before="0" w:after="60" w:line="360" w:lineRule="auto"/>
        <w:ind w:firstLine="480"/>
      </w:pPr>
      <w:r>
        <w:rPr>
          <w:rFonts w:ascii="Times New Roman" w:hAnsi="Times New Roman" w:eastAsia="宋体"/>
          <w:b w:val="0"/>
          <w:i w:val="0"/>
          <w:sz w:val="24"/>
        </w:rPr>
        <w:t>表21须分两层解读，而这两层的稳健性并不相同。</w:t>
      </w:r>
    </w:p>
    <w:p>
      <w:pPr>
        <w:spacing w:before="0" w:after="60" w:line="360" w:lineRule="auto"/>
        <w:ind w:firstLine="480"/>
      </w:pPr>
      <w:r>
        <w:rPr>
          <w:rFonts w:ascii="Times New Roman" w:hAnsi="Times New Roman" w:eastAsia="宋体"/>
          <w:b w:val="0"/>
          <w:i w:val="0"/>
          <w:sz w:val="24"/>
        </w:rPr>
        <w:t>回撤控制在高目标波动区的成本始终很大。六个变体在 σ*=12% 处的成本介于4.10至7.40个百分点，无一例外。这构成本文最稳健的实证事实：在无法使用杠杆的条件下，叠加回撤控制会显著压低高目标波动区的收益。</w:t>
      </w:r>
    </w:p>
    <w:p>
      <w:pPr>
        <w:spacing w:before="0" w:after="60" w:line="360" w:lineRule="auto"/>
        <w:ind w:firstLine="480"/>
      </w:pPr>
      <w:r>
        <w:rPr>
          <w:rFonts w:ascii="Times New Roman" w:hAnsi="Times New Roman" w:eastAsia="宋体"/>
          <w:b w:val="0"/>
          <w:i w:val="0"/>
          <w:sz w:val="24"/>
        </w:rPr>
        <w:t>前沿是否呈现单峰则取决于回撤控制的激进程度。六个变体中有五个出现内点最优，但连续线性 ramp 变体不出现，其前沿单调递增，从4.95%升至7.03%，尽管其成本仍达4.25pp。这与阈值敏感性检验指向同一结论：产生单峰的并非"回撤控制"这一工具，而是"足够激进的削减档位"，无论通过严格阈值还是深度削减档实现。连续 ramp 在同一水下深度处给出相同削减比例，D=−3.5% 时 φ=0.15，但它对浅回撤同样施加削减，因而使前沿整体下移而非弯折。</w:t>
      </w:r>
    </w:p>
    <w:p>
      <w:pPr>
        <w:spacing w:before="0" w:after="60" w:line="360" w:lineRule="auto"/>
        <w:ind w:firstLine="480"/>
      </w:pPr>
      <w:r>
        <w:rPr>
          <w:rFonts w:ascii="Times New Roman" w:hAnsi="Times New Roman" w:eastAsia="宋体"/>
          <w:b w:val="0"/>
          <w:i w:val="0"/>
          <w:sz w:val="24"/>
        </w:rPr>
        <w:t>另有两项敏感性已在别处报告。其一，固定敞口实验（第5.4节表10）检验了"关闭波动率目标层"这一极端设定，成本依然随敞口单调放大。其二，扩展基准对比（第4.1节表1）检验了策略相对等权、风险平价与CPPI的位置，本文策略的夏普比率仍高于全部对照，但相对国债ETF的优势不具统计显著性。</w:t>
      </w:r>
    </w:p>
    <w:p>
      <w:pPr>
        <w:spacing w:before="0" w:after="60" w:line="360" w:lineRule="auto"/>
        <w:ind w:firstLine="480"/>
      </w:pPr>
      <w:r>
        <w:rPr>
          <w:rFonts w:ascii="Times New Roman" w:hAnsi="Times New Roman" w:eastAsia="宋体"/>
          <w:b/>
          <w:i w:val="0"/>
          <w:sz w:val="24"/>
        </w:rPr>
        <w:t>综合判断：本文结论的稳健性边界。</w:t>
      </w:r>
      <w:r>
        <w:rPr>
          <w:rFonts w:ascii="Times New Roman" w:hAnsi="Times New Roman" w:eastAsia="宋体"/>
          <w:b w:val="0"/>
          <w:i w:val="0"/>
          <w:sz w:val="24"/>
        </w:rPr>
        <w:t xml:space="preserve"> 本文的全部敏感性检验可以按"成本"与"形状"两个层次分别归纳，二者的稳健性并不相同：</w:t>
      </w:r>
    </w:p>
    <w:p>
      <w:pPr>
        <w:spacing w:before="40" w:after="40" w:line="336" w:lineRule="auto"/>
        <w:ind w:left="480"/>
      </w:pPr>
      <w:r>
        <w:rPr>
          <w:rFonts w:ascii="Times New Roman" w:hAnsi="Times New Roman" w:eastAsia="宋体"/>
          <w:b/>
          <w:i w:val="0"/>
          <w:sz w:val="24"/>
        </w:rPr>
        <w:t>成本层（高度稳健）</w:t>
      </w:r>
      <w:r>
        <w:rPr>
          <w:rFonts w:ascii="Times New Roman" w:hAnsi="Times New Roman" w:eastAsia="宋体"/>
          <w:b w:val="0"/>
          <w:i w:val="0"/>
          <w:sz w:val="24"/>
        </w:rPr>
        <w:t>：回撤控制在高目标波动区造成显著收益损失，这一点在交易成本、波动率估计窗口、调仓频率、回撤控制函数形式、回撤阈值、资产池、战术信号、子样本等全部检验方向上均成立，成本量级稳定在4—7个百分点区间。</w:t>
      </w:r>
    </w:p>
    <w:p>
      <w:pPr>
        <w:spacing w:before="40" w:after="40" w:line="336" w:lineRule="auto"/>
        <w:ind w:left="480"/>
      </w:pPr>
      <w:r>
        <w:rPr>
          <w:rFonts w:ascii="Times New Roman" w:hAnsi="Times New Roman" w:eastAsia="宋体"/>
          <w:b/>
          <w:i w:val="0"/>
          <w:sz w:val="24"/>
        </w:rPr>
        <w:t>形状层（条件性）</w:t>
      </w:r>
      <w:r>
        <w:rPr>
          <w:rFonts w:ascii="Times New Roman" w:hAnsi="Times New Roman" w:eastAsia="宋体"/>
          <w:b w:val="0"/>
          <w:i w:val="0"/>
          <w:sz w:val="24"/>
        </w:rPr>
        <w:t>：前沿是否由单调转为单峰，取决于回撤控制的激进程度：在四组阈值中仅两组成立，在六种函数/估计/频率组合中五组成立。</w:t>
      </w:r>
      <w:r>
        <w:rPr>
          <w:rFonts w:ascii="Times New Roman" w:hAnsi="Times New Roman" w:eastAsia="宋体"/>
          <w:b/>
          <w:i w:val="0"/>
          <w:sz w:val="24"/>
        </w:rPr>
        <w:t>本文因此将核心主张收敛为成本层的陈述，而将形状层明确标注为条件性发现。</w:t>
      </w:r>
    </w:p>
    <w:p>
      <w:pPr>
        <w:spacing w:before="0" w:after="60" w:line="360" w:lineRule="auto"/>
        <w:ind w:firstLine="480"/>
      </w:pPr>
      <w:r>
        <w:rPr>
          <w:rFonts w:ascii="Times New Roman" w:hAnsi="Times New Roman" w:eastAsia="宋体"/>
          <w:b w:val="0"/>
          <w:i w:val="0"/>
          <w:sz w:val="24"/>
        </w:rPr>
        <w:t>这一边界已在摘要、第1.4节与第2.4.3节三处预先声明，本节给出经验证据。对"固收+"这类回撤承诺严格的产品，严格档设定正是其现实对应，形状层结论适用；对任何受 Ē=1 约束的投资者，成本层结论无条件适用。</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前文的结论停留在形状层面：回撤控制使收益-风险前沿由单调转为单峰，且这一效应无法通过放松杠杆约束消除。政策与实践真正关心的是数字：受 Ē=1 约束的投资者为此付出了多少福利代价。</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表22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约束成本随风险厌恶程度递减：γ=0.5 时无杠杆约束使最优效用损失2.688个百分点，γ=8 时仅0.071个百分点。高厌恶投资者的最优配置本就落在低目标波动区，而 Ē=1 的截断只在 σ* 较大时绑定，杠杆约束伤害的是风险偏好较高的一端。</w:t>
      </w:r>
    </w:p>
    <w:p>
      <w:pPr>
        <w:spacing w:before="0" w:after="60" w:line="360" w:lineRule="auto"/>
        <w:ind w:firstLine="480"/>
      </w:pPr>
      <w:r>
        <w:rPr>
          <w:rFonts w:ascii="Times New Roman" w:hAnsi="Times New Roman" w:eastAsia="宋体"/>
          <w:b w:val="0"/>
          <w:i w:val="0"/>
          <w:sz w:val="24"/>
        </w:rPr>
        <w:t>更重要的变化来自回撤控制的叠加：γ=1 时，无回撤控制下约束成本为2.475pp，叠加后降至0.363pp，降幅85%。图2的A面板显示，有回撤控制的曲线几乎贴着零轴。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对"固收+"产品而言，客户约束通常以"最大回撤不超过某一阈值"表述。更贴近实务的度量因此是：给定回撤上限，两类约束集各自能达到的最大年化收益。</w:t>
      </w:r>
    </w:p>
    <w:p>
      <w:pPr>
        <w:spacing w:before="200" w:after="60" w:line="276" w:lineRule="auto"/>
        <w:jc w:val="center"/>
      </w:pPr>
      <w:r>
        <w:rPr>
          <w:rFonts w:ascii="Times New Roman" w:hAnsi="Times New Roman" w:eastAsia="黑体"/>
          <w:b/>
          <w:i w:val="0"/>
          <w:sz w:val="21"/>
        </w:rPr>
        <w:t>表23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在回撤上限不超过6%的区间内，杠杆不带来任何收益优势（0.00pp与−0.09pp）；只有把回撤容忍度放宽到8%，机构才获得0.29pp的优势。</w:t>
      </w:r>
    </w:p>
    <w:p>
      <w:pPr>
        <w:spacing w:before="0" w:after="60" w:line="360" w:lineRule="auto"/>
        <w:ind w:firstLine="480"/>
      </w:pPr>
      <w:r>
        <w:rPr>
          <w:rFonts w:ascii="Times New Roman" w:hAnsi="Times New Roman" w:eastAsia="宋体"/>
          <w:b w:val="0"/>
          <w:i w:val="0"/>
          <w:sz w:val="24"/>
        </w:rPr>
        <w:t>回撤上限≤4%在本样本内对两类约束集均不可行，即便将目标波动压到3%，最大回撤仍达−4.14%。这条可行性边界本身即具实务价值：以"固收+"为代表的低回撤产品，在纯多资产权益框架下难以承诺4%以内的最大回撤，只能借助久期与信用等非权益手段，这与引言所引《经济参考报》的行业观察相吻合。</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表24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val="0"/>
          <w:i w:val="0"/>
          <w:sz w:val="24"/>
        </w:rPr>
        <w:t>收益目标不超过6%时，两类约束集所需承担的最小回撤完全相同（−4.02%与−4.15%）。杠杆的价值要到收益目标提高至10%时才显现，此时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4" name="Picture 4"/>
            <wp:cNvGraphicFramePr>
              <a:graphicFrameLocks noChangeAspect="1"/>
            </wp:cNvGraphicFramePr>
            <a:graphic>
              <a:graphicData uri="http://schemas.openxmlformats.org/drawingml/2006/picture">
                <pic:pic>
                  <pic:nvPicPr>
                    <pic:cNvPr id="0" name="docx_fig2.png"/>
                    <pic:cNvPicPr/>
                  </pic:nvPicPr>
                  <pic:blipFill>
                    <a:blip r:embed="rId14"/>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回撤控制何以"消灭"了杠杆的价值</w:t>
      </w:r>
    </w:p>
    <w:p>
      <w:pPr>
        <w:spacing w:before="0" w:after="60" w:line="360" w:lineRule="auto"/>
        <w:ind w:firstLine="480"/>
      </w:pPr>
      <w:r>
        <w:rPr>
          <w:rFonts w:ascii="Times New Roman" w:hAnsi="Times New Roman" w:eastAsia="宋体"/>
          <w:b w:val="0"/>
          <w:i w:val="0"/>
          <w:sz w:val="24"/>
        </w:rPr>
        <w:t>三种度量合并后指向同一方向，而这在设计研究时并未被预料到。</w:t>
      </w:r>
    </w:p>
    <w:p>
      <w:pPr>
        <w:spacing w:before="0" w:after="60" w:line="360" w:lineRule="auto"/>
        <w:ind w:firstLine="480"/>
      </w:pPr>
      <w:r>
        <w:rPr>
          <w:rFonts w:ascii="Times New Roman" w:hAnsi="Times New Roman" w:eastAsia="宋体"/>
          <w:b w:val="0"/>
          <w:i w:val="0"/>
          <w:sz w:val="24"/>
        </w:rPr>
        <w:t>无回撤控制时，杠杆约束确实是昂贵的：γ=1 口径下达2.475pp，且集中体现在高目标波动区。一旦叠加回撤控制，约束成本降至0.363pp（降幅85%）；收益口径下降至0.00pp（回撤上限5%）乃至−0.09pp（回撤上限6%）；风险口径下降至0.00pp（收益目标≤6%）。</w:t>
      </w:r>
    </w:p>
    <w:p>
      <w:pPr>
        <w:spacing w:before="0" w:after="60" w:line="360" w:lineRule="auto"/>
        <w:ind w:firstLine="480"/>
      </w:pPr>
      <w:r>
        <w:rPr>
          <w:rFonts w:ascii="Times New Roman" w:hAnsi="Times New Roman" w:eastAsia="宋体"/>
          <w:b w:val="0"/>
          <w:i w:val="0"/>
          <w:sz w:val="24"/>
        </w:rPr>
        <w:t>机制解释。回撤控制把最优配置锁在低目标波动区：表22中，开启后零售投资者的最优 σ</w:t>
      </w:r>
      <w:r>
        <w:rPr>
          <w:rFonts w:ascii="Times New Roman" w:hAnsi="Times New Roman" w:eastAsia="宋体"/>
          <w:b w:val="0"/>
          <w:i w:val="0"/>
          <w:sz w:val="24"/>
        </w:rPr>
        <w:t>* 稳定在10%附近（回撤−5.54%），关闭时为15%（−21.90%）。而在 σ*</w:t>
      </w:r>
      <w:r>
        <w:rPr>
          <w:rFonts w:ascii="Times New Roman" w:hAnsi="Times New Roman" w:eastAsia="宋体"/>
          <w:b w:val="0"/>
          <w:i w:val="0"/>
          <w:sz w:val="24"/>
        </w:rPr>
        <w:t xml:space="preserve"> 较小、需求敞口不足1的区间，Ē=1 的截断根本不绑定，杠杆上限形同虚设——回撤控制已替投资者完成了去杠杆，"能否使用杠杆"这一差别因此失去意义。</w:t>
      </w:r>
    </w:p>
    <w:p>
      <w:pPr>
        <w:spacing w:before="0" w:after="60" w:line="360" w:lineRule="auto"/>
        <w:ind w:firstLine="480"/>
      </w:pPr>
      <w:r>
        <w:rPr>
          <w:rFonts w:ascii="Times New Roman" w:hAnsi="Times New Roman" w:eastAsia="宋体"/>
          <w:b w:val="0"/>
          <w:i w:val="0"/>
          <w:sz w:val="24"/>
        </w:rPr>
        <w:t>首先被修正的是"杠杆约束必然有害"这一直觉：在回撤被严格约束的现实场景中，扩大零售投资者的杠杆可得性，福利收益接近于零；政策讨论的焦点因此从"是否放开杠杆"转向"回撤约束是否被合理设定"。</w:t>
      </w:r>
    </w:p>
    <w:p>
      <w:pPr>
        <w:spacing w:before="0" w:after="60" w:line="360" w:lineRule="auto"/>
        <w:ind w:firstLine="480"/>
      </w:pPr>
      <w:r>
        <w:rPr>
          <w:rFonts w:ascii="Times New Roman" w:hAnsi="Times New Roman" w:eastAsia="宋体"/>
          <w:b w:val="0"/>
          <w:i w:val="0"/>
          <w:sz w:val="24"/>
        </w:rPr>
        <w:t>真正昂贵的是回撤控制本身。表22显示，在 Ē=1 下开启回撤控制，最优效用从10.914降至7.120（γ=1口径），成本3.794pp，是同口径下杠杆约束成本（0.363pp）的10.4倍。福利损失的主要来源因此不是杠杆，而是回撤约束本身。</w:t>
      </w:r>
    </w:p>
    <w:p>
      <w:pPr>
        <w:spacing w:before="0" w:after="60" w:line="360" w:lineRule="auto"/>
        <w:ind w:firstLine="480"/>
      </w:pPr>
      <w:r>
        <w:rPr>
          <w:rFonts w:ascii="Times New Roman" w:hAnsi="Times New Roman" w:eastAsia="宋体"/>
          <w:b w:val="0"/>
          <w:i w:val="0"/>
          <w:sz w:val="24"/>
        </w:rPr>
        <w:t>由此得到一个可操作的优先序。对受 Ē=1 约束的投资者，改善福利的排序是：①审慎设定回撤阈值（潜在收益3.794pp）→ ②选择适当的目标波动（σ*∈[4.5%, 6%]区间内收益-回撤权衡较优）→ ③争取杠杆（0.363pp）。当前行业实践中"优先争取仓位弹性"的取向，恰好与之相反。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val="0"/>
          <w:i w:val="0"/>
          <w:sz w:val="24"/>
        </w:rPr>
        <w:t>上述比较都在最优配置之间展开。投资者一旦选中次优参数，实际成本明显高于表中数字：Ē=1、σ*=12%、DC开的组合年化仅5.37%、回撤−6.06%，同约束集的最优组合为7.28%、−5.54%，差距1.91pp。约束条件下，选错参数的代价被放大——这与第6.3节"参数平原"并不矛盾：参数平原说明最优解附近不存在过拟合尖峰，本节说明远离最优解时惩罚更重。</w:t>
      </w:r>
    </w:p>
    <w:p>
      <w:pPr>
        <w:spacing w:before="0" w:after="60" w:line="360" w:lineRule="auto"/>
        <w:ind w:firstLine="480"/>
      </w:pPr>
      <w:r>
        <w:rPr>
          <w:rFonts w:ascii="Times New Roman" w:hAnsi="Times New Roman" w:eastAsia="宋体"/>
          <w:b w:val="0"/>
          <w:i w:val="0"/>
          <w:sz w:val="24"/>
        </w:rPr>
        <w:t>摩擦的放大方向已被检验，尽管度量本身未包含摩擦。本文假设可按收盘价成交、冲击成本为零，这对百万级以下资金成立；而回撤控制会提高换手（本样本内年换手率最高达3.03倍），纳入摩擦只会加重其代价。第6.7节表20给出直接证据：单边交易成本从万三提高到万十二，峰值位置不变（σ*=5.5%），末端衰减却从1.10pp扩大至2.14pp。该检验调整的是显性成本参数，冲击成本随资金规模的非线性上升并未建模，仍需按规模分别评估。</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al.（2020）关于波动率择时的争论基础上，考察了无杠杆约束下波动率目标与回撤控制的交互效应。基于中国六类资产13.2年的样本：</w:t>
      </w:r>
    </w:p>
    <w:p>
      <w:pPr>
        <w:spacing w:before="0" w:after="60" w:line="360" w:lineRule="auto"/>
        <w:ind w:firstLine="480"/>
      </w:pPr>
      <w:r>
        <w:rPr>
          <w:rFonts w:ascii="Times New Roman" w:hAnsi="Times New Roman" w:eastAsia="宋体"/>
          <w:b w:val="0"/>
          <w:i w:val="0"/>
          <w:sz w:val="24"/>
        </w:rPr>
        <w:t>回撤控制改变了收益-风险前沿的形状。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val="0"/>
          <w:i w:val="0"/>
          <w:sz w:val="24"/>
        </w:rPr>
        <w:t>交互效应在量化上接近完全抵消：两条分支的斜率之差为−0.6209，抵消了主效应+0.6479的95.8%，且开启回撤控制后"收益—目标波动"关系的R²由0.988降至0.020——不是斜率变小，而是关系消失（推断口径见第4.3节）。但在夏普与卡玛比率口径上，斜率之差并不显著，回撤控制改善了风险调整指标，却损害了绝对收益，这一分离对以绝对收益为目标的资金具有直接含义。</w:t>
      </w:r>
    </w:p>
    <w:p>
      <w:pPr>
        <w:spacing w:before="0" w:after="60" w:line="360" w:lineRule="auto"/>
        <w:ind w:firstLine="480"/>
      </w:pPr>
      <w:r>
        <w:rPr>
          <w:rFonts w:ascii="Times New Roman" w:hAnsi="Times New Roman" w:eastAsia="宋体"/>
          <w:b w:val="0"/>
          <w:i w:val="0"/>
          <w:sz w:val="24"/>
        </w:rPr>
        <w:t>机制层面，问题出在风险预算被吞噬，而非减错了时点。敞口实现率从0.821降至0.461；目标敞口提升92%仅换来有效敞口提升6.9%，约93%的新增风险预算从未转化为实际持仓。收益归因沿两个方向分解：同一 σ</w:t>
      </w:r>
      <w:r>
        <w:rPr>
          <w:rFonts w:ascii="Times New Roman" w:hAnsi="Times New Roman" w:eastAsia="宋体"/>
          <w:b w:val="0"/>
          <w:i w:val="0"/>
          <w:sz w:val="24"/>
        </w:rPr>
        <w:t>* 下开启回撤控制，损失几乎全部落在敞口效应上（σ*</w:t>
      </w:r>
      <w:r>
        <w:rPr>
          <w:rFonts w:ascii="Times New Roman" w:hAnsi="Times New Roman" w:eastAsia="宋体"/>
          <w:b w:val="0"/>
          <w:i w:val="0"/>
          <w:sz w:val="24"/>
        </w:rPr>
        <w:t>=12%时−6.23pp）；沿 σ* 上移，损失则全部来自择时效应的衰减（2.61%→1.23%），后者构成内点最优的直接成因。以未施加风控的参照组合作状态控制，重度减仓期之后的20—120日市场前瞻收益低于未减仓期（−0.69至−5.82个百分点），回撤控制在短中期的时点判断因此是正确的；250日窗口虽出现反转，block bootstrap 显示其不具统计显著性（p=0.653）。收益损失来自敞口被压制后的复利损失与棘轮效应，而非时点判断失误。</w:t>
      </w:r>
    </w:p>
    <w:p>
      <w:pPr>
        <w:spacing w:before="0" w:after="60" w:line="360" w:lineRule="auto"/>
        <w:ind w:firstLine="480"/>
      </w:pPr>
      <w:r>
        <w:rPr>
          <w:rFonts w:ascii="Times New Roman" w:hAnsi="Times New Roman" w:eastAsia="宋体"/>
          <w:b w:val="0"/>
          <w:i w:val="0"/>
          <w:sz w:val="24"/>
        </w:rPr>
        <w:t>该陷阱无法通过放松杠杆化解。将杠杆上限从1放松至2后，内点最优依然存在（末端衰减仅从0.67pp降至0.14pp），原因是回撤控制的削减是乘性的，杠杆只能放大第一层的产出。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val="0"/>
          <w:i w:val="0"/>
          <w:sz w:val="24"/>
        </w:rPr>
        <w:t>约束成本的量化把上述判断再推进一步。第七节的三种口径一致显示：在回撤被严格约束的现实场景中，杠杆约束的福利成本接近于零（γ=1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效用口径下仅0.363pp；回撤上限5%时收益口径下为0.00pp；收益目标≤6%时风险口径下为0.00pp），而回撤控制本身的成本高达3.794pp，是前者的10.4倍。两重约束之中，福利损失主要来自后者。</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overlay，前沿分岔依然存在（末端衰减1.12pp），"分岔由特定信号失效所致"的替代解释因此被排除。</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既有文献（Moreira and Muir, 2017; Cederburg et al., 2020; Bongaerts et al., 2020）均以可自由加杠杆为前提，其"低波动加仓"的收益来源本质上是杠杆收益。本文与既有文献的分野，在于把杠杆可得性从背景假设变成待检验的变量。当 Ē=1 时，缩放函数被截断，波动率目标退化为单向减仓工具，其与回撤控制的叠加便产生系统性的收益侵蚀。实务中"波动率目标效果不稳定"由此获得一种解释：效果差异的根源可能不在市场，而在约束条件。</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val="0"/>
          <w:i w:val="0"/>
          <w:sz w:val="24"/>
        </w:rPr>
        <w:t>对无法使用杠杆的投资者，本文结果可概括为一句话：风险预算并非"用得越多越好"。以绝对收益为目标时，适度目标波动优于高目标波动，σ</w:t>
      </w:r>
      <w:r>
        <w:rPr>
          <w:rFonts w:ascii="Times New Roman" w:hAnsi="Times New Roman" w:eastAsia="宋体"/>
          <w:b w:val="0"/>
          <w:i w:val="0"/>
          <w:sz w:val="24"/>
        </w:rPr>
        <w:t>*=5.5%的组合（年化6.47%、回撤−4.15%）优于σ*</w:t>
      </w:r>
      <w:r>
        <w:rPr>
          <w:rFonts w:ascii="Times New Roman" w:hAnsi="Times New Roman" w:eastAsia="宋体"/>
          <w:b w:val="0"/>
          <w:i w:val="0"/>
          <w:sz w:val="24"/>
        </w:rPr>
        <w:t>=12%的组合（年化5.37%、回撤−6.06%），后者多担一倍以上的风险预算，收益反而更低。两点限定需交代：该结论在本文的基准与严格阈值组下成立，若投资者的回撤容忍度较宽（−6%以上），提高目标波动仍然有效；本文也不主张放弃回撤控制，第5.3节已证实其短中期确实降低了损失且时点判断正确，主张的是审慎设定阈值，而非取消这一层。</w:t>
      </w:r>
    </w:p>
    <w:p>
      <w:pPr>
        <w:spacing w:before="0" w:after="60" w:line="360" w:lineRule="auto"/>
        <w:ind w:firstLine="480"/>
      </w:pPr>
      <w:r>
        <w:rPr>
          <w:rFonts w:ascii="Times New Roman" w:hAnsi="Times New Roman" w:eastAsia="宋体"/>
          <w:b w:val="0"/>
          <w:i w:val="0"/>
          <w:sz w:val="24"/>
        </w:rPr>
        <w:t>国内"固收+"产品普遍采用"战略配置→战术择时→资金管理"三层架构，本文结果把注意力引向第三层（TIPP/回撤控制）与前两层的交互。可行的做法是在产品合同中明确"最大回撤约束"与"收益目标"的优先序，否则为追求低回撤而系统性牺牲收益难以避免。第七节表23给出的可行性边界在此同样适用：在本样本的多资产权益框架下，最大回撤4%以内的目标对任何参数配置均不可行（即便将目标波动压到3%，最大回撤仍达−4.14%）。回撤承诺一旦低于4%，其实现必然依赖久期与信用等非权益手段，风险并未消失，而是从权益端转移到了信用与流动性端。</w:t>
      </w:r>
    </w:p>
    <w:p>
      <w:pPr>
        <w:spacing w:before="0" w:after="60" w:line="360" w:lineRule="auto"/>
        <w:ind w:firstLine="480"/>
      </w:pPr>
      <w:r>
        <w:rPr>
          <w:rFonts w:ascii="Times New Roman" w:hAnsi="Times New Roman" w:eastAsia="宋体"/>
          <w:b w:val="0"/>
          <w:i w:val="0"/>
          <w:sz w:val="24"/>
        </w:rPr>
        <w:t>监管与投资者保护层面，两项发现直接相关。不能使用杠杆的投资者承受了更严重的回撤控制收益侵蚀（末端衰减0.67pp vs 机构的0.14pp），同一套"稳健"策略，在零售投资者手中与在机构手中效果并不相同。更具政策含义的是第二项。第七节显示，一旦叠加回撤约束，杠杆约束的福利成本即降至接近于零（γ=1 效用口径0.363pp；回撤上限6%时收益口径−0.09pp；收益目标≤6%时风险口径0.00pp）。以"放开零售杠杆"改善零售投资者福利的思路，在回撤被刚性约束的条件下收效甚微；监管焦点若转向回撤控制条款本身的合理性与透明度，例如要求管理人在产品说明书中披露回撤控制机制的成本测算与压力测试结果，并明确回撤与收益目标的优先序，边际效果可能更大。</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本文存在六项局限，有待后续研究处理：</w:t>
      </w:r>
    </w:p>
    <w:p>
      <w:pPr>
        <w:spacing w:before="0" w:after="60" w:line="360" w:lineRule="auto"/>
        <w:ind w:firstLine="480"/>
      </w:pPr>
      <w:r>
        <w:rPr>
          <w:rFonts w:ascii="Times New Roman" w:hAnsi="Times New Roman" w:eastAsia="宋体"/>
          <w:b w:val="0"/>
          <w:i w:val="0"/>
          <w:sz w:val="24"/>
        </w:rPr>
        <w:t>其一，样本长度与单一市场仍是硬约束。13.2年的样本虽覆盖多轮牛熊，仍不足以完全排除路径依赖；且结论仅基于中国市场，跨国验证有待展开。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其二涉及模拟与实证之间的落差：第5.4节的数值模拟复现了"边际收益压缩88%"，却未复现"绝对下降"。本文将其归因于模拟的单一资产设定，该解释需要更严格的检验。</w:t>
      </w:r>
    </w:p>
    <w:p>
      <w:pPr>
        <w:spacing w:before="0" w:after="60" w:line="360" w:lineRule="auto"/>
        <w:ind w:firstLine="480"/>
      </w:pPr>
      <w:r>
        <w:rPr>
          <w:rFonts w:ascii="Times New Roman" w:hAnsi="Times New Roman" w:eastAsia="宋体"/>
          <w:b w:val="0"/>
          <w:i w:val="0"/>
          <w:sz w:val="24"/>
        </w:rPr>
        <w:t>其三，相对国债的夏普优势不显著（p=0.774）。本文策略在绝对收益与回撤控制上表现较好，但相对无风险资产的风险调整优势在本样本内未获统计支持，这与2014年以来中国债券长牛的特殊环境有关，外推需谨慎。</w:t>
      </w:r>
    </w:p>
    <w:p>
      <w:pPr>
        <w:spacing w:before="0" w:after="60" w:line="360" w:lineRule="auto"/>
        <w:ind w:firstLine="480"/>
      </w:pPr>
      <w:r>
        <w:rPr>
          <w:rFonts w:ascii="Times New Roman" w:hAnsi="Times New Roman" w:eastAsia="宋体"/>
          <w:b w:val="0"/>
          <w:i w:val="0"/>
          <w:sz w:val="24"/>
        </w:rPr>
        <w:t>其四，交易摩擦未被纳入定价。本文假设可按收盘价成交、冲击成本为零，这对百万级以下资金成立，大规模资金则需重新评估。第6.7节做了万三至万十二的敏感性检验，方向不变，但这并不替代对冲击成本与容量约束的直接建模。</w:t>
      </w:r>
    </w:p>
    <w:p>
      <w:pPr>
        <w:spacing w:before="0" w:after="60" w:line="360" w:lineRule="auto"/>
        <w:ind w:firstLine="480"/>
      </w:pPr>
      <w:r>
        <w:rPr>
          <w:rFonts w:ascii="Times New Roman" w:hAnsi="Times New Roman" w:eastAsia="宋体"/>
          <w:b w:val="0"/>
          <w:i w:val="0"/>
          <w:sz w:val="24"/>
        </w:rPr>
        <w:t>其五，结论对回撤阈值敏感。第6.7节显示，内点最优仅在基准组与严格组阈值下出现，宽松组与极宽组的前沿仍单调递增。这意味着本文识别的负交互是"严格回撤约束"与"无法使用杠杆"两项条件的联合产物，不能推广为回撤控制这一工具的普遍属性。该边界已在摘要、第1.4节与第2.4.3节三处声明。</w:t>
      </w:r>
    </w:p>
    <w:p>
      <w:pPr>
        <w:spacing w:before="0" w:after="60" w:line="360" w:lineRule="auto"/>
        <w:ind w:firstLine="480"/>
      </w:pPr>
      <w:r>
        <w:rPr>
          <w:rFonts w:ascii="Times New Roman" w:hAnsi="Times New Roman" w:eastAsia="宋体"/>
          <w:b w:val="0"/>
          <w:i w:val="0"/>
          <w:sz w:val="24"/>
        </w:rPr>
        <w:t>其六，事件研究的统计功效不足，此处单独说明：第5.3节的250日窗口在13.2年样本中仅有约12.8个非重叠观测，组间比较的 block bootstrap 置信区间宽达[−3.864, +5.619]。本文因此未能就"重度减仓之后的长期收益是否更高"给出确定答案，只能报告"证据不足以支持"，更长样本或跨市场数据方能回答这一问题。</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始于一个工程性的困惑：为什么加了第二层风控，收益反而不涨。它最终指向一个理论命题——在约束条件下，风险管理的边际收益可能为零甚至为负。一道风控的价值，取决于它之外的其余各道给它留下多少空间；风控手段的堆叠并不必然带来更好的结果，弄清每一层如何作用、又如何相互抵消，与设计新的一层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F., Tang, X., &amp; Zhou, G. (2019). Volatility-managed portfolio: Does it really work? Journal of Portfolio Management, 46(1), 38–51.（SSRN 工作论文版编号 3283395）</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(2026). Improving volatility-managed portfolios in real time. Critical Finance Review, 15(2), 179–207.（SSRN 工作论文版编号 4778941）</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40" w:line="312" w:lineRule="auto"/>
        <w:ind w:left="480" w:hanging="480"/>
      </w:pPr>
      <w:r>
        <w:rPr>
          <w:rFonts w:ascii="Times New Roman" w:hAnsi="Times New Roman" w:eastAsia="宋体"/>
          <w:b w:val="0"/>
          <w:i w:val="0"/>
          <w:sz w:val="21"/>
        </w:rPr>
        <w:t xml:space="preserve">27. Barroso, P., &amp; Detzel, A. L. (2021). Do limits to arbitrage explain the benefits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140(3), 744–767.</w:t>
      </w:r>
    </w:p>
    <w:p>
      <w:pPr>
        <w:spacing w:before="0" w:after="40" w:line="312" w:lineRule="auto"/>
        <w:ind w:left="480" w:hanging="480"/>
      </w:pPr>
      <w:r>
        <w:rPr>
          <w:rFonts w:ascii="Times New Roman" w:hAnsi="Times New Roman" w:eastAsia="宋体"/>
          <w:b w:val="0"/>
          <w:i w:val="0"/>
          <w:sz w:val="21"/>
        </w:rPr>
        <w:t xml:space="preserve">28. Chekhlov, A., Uryasev, S., &amp; Zabarankin, M. (2005). Drawdown measure in portfolio optimization. </w:t>
      </w:r>
      <w:r>
        <w:rPr>
          <w:rFonts w:ascii="Times New Roman" w:hAnsi="Times New Roman" w:eastAsia="宋体"/>
          <w:b w:val="0"/>
          <w:i/>
          <w:sz w:val="21"/>
        </w:rPr>
        <w:t>International Journal of Theoretical and Applied Finance</w:t>
      </w:r>
      <w:r>
        <w:rPr>
          <w:rFonts w:ascii="Times New Roman" w:hAnsi="Times New Roman" w:eastAsia="宋体"/>
          <w:b w:val="0"/>
          <w:i w:val="0"/>
          <w:sz w:val="21"/>
        </w:rPr>
        <w:t>, 8(1), 13–58.</w:t>
      </w:r>
    </w:p>
    <w:p>
      <w:pPr>
        <w:spacing w:before="0" w:after="40" w:line="312" w:lineRule="auto"/>
        <w:ind w:left="480" w:hanging="480"/>
      </w:pPr>
      <w:r>
        <w:rPr>
          <w:rFonts w:ascii="Times New Roman" w:hAnsi="Times New Roman" w:eastAsia="宋体"/>
          <w:b w:val="0"/>
          <w:i w:val="0"/>
          <w:sz w:val="21"/>
        </w:rPr>
        <w:t xml:space="preserve">29. Cont, R., &amp; Tankov, P. (2009). Constant proportion portfolio insurance in presence of jumps. </w:t>
      </w:r>
      <w:r>
        <w:rPr>
          <w:rFonts w:ascii="Times New Roman" w:hAnsi="Times New Roman" w:eastAsia="宋体"/>
          <w:b w:val="0"/>
          <w:i/>
          <w:sz w:val="21"/>
        </w:rPr>
        <w:t>Applied Mathematical Finance</w:t>
      </w:r>
      <w:r>
        <w:rPr>
          <w:rFonts w:ascii="Times New Roman" w:hAnsi="Times New Roman" w:eastAsia="宋体"/>
          <w:b w:val="0"/>
          <w:i w:val="0"/>
          <w:sz w:val="21"/>
        </w:rPr>
        <w:t>, 16(5), 399–420.</w:t>
      </w:r>
    </w:p>
    <w:p>
      <w:pPr>
        <w:spacing w:before="0" w:after="40" w:line="312" w:lineRule="auto"/>
        <w:ind w:left="480" w:hanging="480"/>
      </w:pPr>
      <w:r>
        <w:rPr>
          <w:rFonts w:ascii="Times New Roman" w:hAnsi="Times New Roman" w:eastAsia="宋体"/>
          <w:b w:val="0"/>
          <w:i w:val="0"/>
          <w:sz w:val="21"/>
        </w:rPr>
        <w:t xml:space="preserve">30. Ang, A. (2014). </w:t>
      </w:r>
      <w:r>
        <w:rPr>
          <w:rFonts w:ascii="Times New Roman" w:hAnsi="Times New Roman" w:eastAsia="宋体"/>
          <w:b w:val="0"/>
          <w:i/>
          <w:sz w:val="21"/>
        </w:rPr>
        <w:t>Asset Management: A Systematic Approach to Factor Investing</w:t>
      </w:r>
      <w:r>
        <w:rPr>
          <w:rFonts w:ascii="Times New Roman" w:hAnsi="Times New Roman" w:eastAsia="宋体"/>
          <w:b w:val="0"/>
          <w:i w:val="0"/>
          <w:sz w:val="21"/>
        </w:rPr>
        <w:t>. Oxford University Press.</w:t>
      </w:r>
    </w:p>
    <w:p>
      <w:pPr>
        <w:spacing w:before="0" w:after="40" w:line="312" w:lineRule="auto"/>
        <w:ind w:left="480" w:hanging="480"/>
      </w:pPr>
      <w:r>
        <w:rPr>
          <w:rFonts w:ascii="Times New Roman" w:hAnsi="Times New Roman" w:eastAsia="宋体"/>
          <w:b w:val="0"/>
          <w:i w:val="0"/>
          <w:sz w:val="21"/>
        </w:rPr>
        <w:t>31. 上海证券交易所，2026：《上海证券交易所统计年鉴（2026）》及月度市场概况，上交所官网公开数据（访问日期：2026年10月22日）。</w:t>
      </w:r>
    </w:p>
    <w:p>
      <w:pPr>
        <w:spacing w:before="0" w:after="40" w:line="312" w:lineRule="auto"/>
        <w:ind w:left="480" w:hanging="480"/>
      </w:pPr>
      <w:r>
        <w:rPr>
          <w:rFonts w:ascii="Times New Roman" w:hAnsi="Times New Roman" w:eastAsia="宋体"/>
          <w:b w:val="0"/>
          <w:i w:val="0"/>
          <w:sz w:val="21"/>
        </w:rPr>
        <w:t>32. 中金公司研究部，2026：《中国"固收+"基金规模与配置跟踪》，中金公司研究报告。</w:t>
      </w:r>
    </w:p>
    <w:p>
      <w:pPr>
        <w:spacing w:before="0" w:after="40" w:line="312" w:lineRule="auto"/>
        <w:ind w:left="480" w:hanging="480"/>
      </w:pPr>
      <w:r>
        <w:rPr>
          <w:rFonts w:ascii="Times New Roman" w:hAnsi="Times New Roman" w:eastAsia="宋体"/>
          <w:b w:val="0"/>
          <w:i w:val="0"/>
          <w:sz w:val="21"/>
        </w:rPr>
        <w:t>33. 《经济参考报》，2026年5月6日：《"固收+"规模狂欢背后的隐忧》。</w:t>
      </w:r>
    </w:p>
    <w:p>
      <w:pPr>
        <w:spacing w:before="320" w:after="200" w:line="360" w:lineRule="auto"/>
        <w:jc w:val="center"/>
      </w:pPr>
      <w:r>
        <w:rPr>
          <w:rFonts w:ascii="Times New Roman" w:hAnsi="Times New Roman" w:eastAsia="黑体"/>
          <w:b/>
          <w:i w:val="0"/>
          <w:sz w:val="30"/>
        </w:rPr>
        <w:t>附录与声明（投稿时按期刊模板调整位置）</w:t>
      </w:r>
    </w:p>
    <w:p>
      <w:pPr>
        <w:spacing w:before="0" w:after="60" w:line="360" w:lineRule="auto"/>
        <w:ind w:firstLine="480"/>
      </w:pPr>
      <w:r>
        <w:rPr>
          <w:rFonts w:ascii="Times New Roman" w:hAnsi="Times New Roman" w:eastAsia="宋体"/>
          <w:b/>
          <w:i w:val="0"/>
          <w:sz w:val="24"/>
        </w:rPr>
        <w:t>数据可用性。 全部行情数据来自 AkShare 开源数据库与天天基金公开页面，可通过公开渠道免费获取；分红记录来自天天基金 F10 页面人工整理。回测与绘图代码已在 GitHub 公开：https://github.com/958809518/double-deleveraging-trap，含 paper_data/ 下与正文各表一一对应的结果输出，可复现文中所有表格与图形。</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利益冲突声明。</w:t>
      </w:r>
      <w:r>
        <w:rPr>
          <w:rFonts w:ascii="Times New Roman" w:hAnsi="Times New Roman" w:eastAsia="宋体"/>
          <w:b w:val="0"/>
          <w:i w:val="0"/>
          <w:sz w:val="24"/>
        </w:rPr>
        <w:t xml:space="preserve"> 作者声明不存在可能影响本文结论的经济利益冲突。</w:t>
      </w:r>
    </w:p>
    <w:p>
      <w:pPr>
        <w:spacing w:before="0" w:after="60" w:line="360" w:lineRule="auto"/>
        <w:ind w:firstLine="480"/>
      </w:pPr>
      <w:r>
        <w:rPr>
          <w:rFonts w:ascii="Times New Roman" w:hAnsi="Times New Roman" w:eastAsia="宋体"/>
          <w:b/>
          <w:i w:val="0"/>
          <w:sz w:val="24"/>
        </w:rPr>
        <w:t>资助声明。 本文系国家社会科学基金一般项目《数字孪生赋能韧性城市建设的机理与实践路径研究》（批准号 24BGL226）的阶段性成果。</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作者贡献。</w:t>
      </w:r>
      <w:r>
        <w:rPr>
          <w:rFonts w:ascii="Times New Roman" w:hAnsi="Times New Roman" w:eastAsia="宋体"/>
          <w:b w:val="0"/>
          <w:i w:val="0"/>
          <w:sz w:val="24"/>
        </w:rPr>
        <w:t xml:space="preserve"> 【投稿时填写：多位作者时按《金融研究》体例列明。】</w:t>
      </w:r>
    </w:p>
    <w:p>
      <w:pPr>
        <w:spacing w:before="0" w:after="60" w:line="360" w:lineRule="auto"/>
        <w:ind w:firstLine="480"/>
      </w:pPr>
      <w:r>
        <w:rPr>
          <w:rFonts w:ascii="Times New Roman" w:hAnsi="Times New Roman" w:eastAsia="宋体"/>
          <w:b/>
          <w:i w:val="0"/>
          <w:sz w:val="24"/>
        </w:rPr>
        <w:t>需要向编辑部说明的两点。</w:t>
      </w:r>
      <w:r>
        <w:rPr>
          <w:rFonts w:ascii="Times New Roman" w:hAnsi="Times New Roman" w:eastAsia="宋体"/>
          <w:b w:val="0"/>
          <w:i w:val="0"/>
          <w:sz w:val="24"/>
        </w:rPr>
        <w:t xml:space="preserve"> 其一，第5.3节撤回了一项本文早期版本中的表述（"削减恰好发生在反弹最丰厚的前夜"），该表述在 block bootstrap 下未获统计支持，修改稿已在正文相应位置标注这一撤回。其二，第6.7节报告了一项对本文核心发现不利的证据（内点最优仅在两组回撤阈值下出现），本文选择保留并突出该证据，而非将其置于附录。</w:t>
      </w:r>
    </w:p>
    <w:p>
      <w:pPr>
        <w:spacing w:before="0" w:after="60" w:line="360" w:lineRule="auto"/>
        <w:ind w:firstLine="480"/>
      </w:pPr>
      <w:r>
        <w:rPr>
          <w:rFonts w:ascii="Times New Roman" w:hAnsi="Times New Roman" w:eastAsia="宋体"/>
          <w:b w:val="0"/>
          <w:i w:val="0"/>
          <w:sz w:val="24"/>
        </w:rPr>
        <w:t>*本文仅供学术研究参考，不构成任何投资建议。*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A descriptive slope decomposition shows that drawdown control shifts the return-target-volatility slope by -0.6209, offsetting 95.8% of the main effect (+0.6479). Mechanism tests show that drawdown control lowers the exposure realization rate from 0.821 to 0.461: a 92% increase in target exposure buys only a 6.9% increase in effective exposure. An event study with state controls and block bootstrap indicates that the loss does not arise from mistimed cuts -- drawdown control reduces exposure at moments when subsequent 20-120-day market returns are in fact lower -- but from the compounding loss and ratchet effect of compressed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Two caveats are stated up front: the strategy's risk-adjusted advantage over a treasury ETF is not statistically significant (p = 0.774), and the single-peaked shape is conditional -- it appears under two of four drawdown-threshold settings and five of six estimation, frequency and functional-form variants, although the cost of drawdown control at high target volatility (4-7 percentage points) holds without exception.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