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eastAsia="黑体"/>
          <w:b/>
          <w:i w:val="0"/>
          <w:sz w:val="36"/>
        </w:rPr>
        <w:t>双重去杠杆陷阱：波动率目标与回撤控制的交互效应</w:t>
      </w:r>
    </w:p>
    <w:p>
      <w:pPr>
        <w:spacing w:before="0" w:after="200" w:line="300" w:lineRule="auto"/>
        <w:jc w:val="center"/>
      </w:pPr>
      <w:r>
        <w:rPr>
          <w:rFonts w:ascii="Times New Roman" w:hAnsi="Times New Roman" w:eastAsia="楷体"/>
          <w:b w:val="0"/>
          <w:i w:val="0"/>
          <w:sz w:val="26"/>
        </w:rPr>
        <w:t>——来自中国多资产市场的证据与数值模拟</w:t>
      </w:r>
    </w:p>
    <w:p>
      <w:pPr>
        <w:spacing w:before="0" w:after="40" w:line="300" w:lineRule="auto"/>
        <w:jc w:val="center"/>
      </w:pPr>
      <w:r>
        <w:rPr>
          <w:rFonts w:ascii="Times New Roman" w:hAnsi="Times New Roman" w:eastAsia="楷体"/>
          <w:b w:val="0"/>
          <w:i w:val="0"/>
          <w:sz w:val="22"/>
        </w:rPr>
        <w:t>作者姓名A　　作者姓名B</w:t>
      </w:r>
    </w:p>
    <w:p>
      <w:pPr>
        <w:spacing w:before="0" w:after="280" w:line="300" w:lineRule="auto"/>
        <w:jc w:val="center"/>
      </w:pPr>
      <w:r>
        <w:rPr>
          <w:rFonts w:ascii="Times New Roman" w:hAnsi="Times New Roman" w:eastAsia="楷体"/>
          <w:b w:val="0"/>
          <w:i w:val="0"/>
          <w:sz w:val="19"/>
        </w:rPr>
        <w:t>（1. 作者单位，城市 邮编；2. 作者单位，城市 邮编）</w:t>
      </w:r>
    </w:p>
    <w:p>
      <w:pPr>
        <w:spacing w:before="0" w:after="280" w:line="300" w:lineRule="auto"/>
      </w:pPr>
      <w:r>
        <w:rPr>
          <w:rFonts w:ascii="Times New Roman" w:hAnsi="Times New Roman" w:eastAsia="楷体"/>
          <w:b w:val="0"/>
          <w:i/>
          <w:sz w:val="18"/>
        </w:rPr>
        <w:t>【投稿前请填写作者与单位信息；若为匿名审稿稿，请删除上述四行】</w:t>
      </w:r>
    </w:p>
    <w:p>
      <w:pPr>
        <w:spacing w:before="120" w:after="120" w:line="300" w:lineRule="auto"/>
        <w:jc w:val="center"/>
      </w:pPr>
      <w:r>
        <w:rPr>
          <w:rFonts w:ascii="Times New Roman" w:hAnsi="Times New Roman" w:eastAsia="黑体"/>
          <w:b/>
          <w:i w:val="0"/>
          <w:sz w:val="24"/>
        </w:rPr>
        <w:t>摘　要</w:t>
      </w:r>
    </w:p>
    <w:p>
      <w:pPr>
        <w:spacing w:before="0" w:after="0" w:line="336" w:lineRule="auto"/>
        <w:ind w:firstLine="420" w:left="0"/>
      </w:pPr>
      <w:r>
        <w:rPr>
          <w:rFonts w:ascii="Times New Roman" w:hAnsi="Times New Roman" w:eastAsia="宋体"/>
          <w:b w:val="0"/>
          <w:i w:val="0"/>
          <w:sz w:val="21"/>
        </w:rPr>
        <w:t>波动率目标（volatility targeting）与回撤控制（drawdown control）是资产管理实践中应用最广的两类规则型风险overlay，但既有研究多孤立评估其一，且普遍假设投资者可以使用杠杆。本文在 Moreira and Muir（2017）与 Cederburg et al.（2020）的争论基础上，将两类风控置于统一的无杠杆约束框架中，考察其交互效应。理论分析表明：由于波动率目标的仓位缩放函数在 Ē=1 处被截断，其"低波动加仓"功能丧失，只能单向减仓；而回撤控制的削减以乘性方式叠加，在高波动期与波动率目标同步触发，形成"双重去杠杆"。基于中国六类资产（红利、沪深300、黄金、纳斯达克100、恒生、中证500）加国债与现金的13.2年样本，本文发现：单独使用波动率目标时，收益-风险前沿单调递增（目标波动3%→12%对应年化5.48%→11.28%）；叠加回撤控制后，前沿转为</w:t>
      </w:r>
      <w:r>
        <w:rPr>
          <w:rFonts w:ascii="Times New Roman" w:hAnsi="Times New Roman" w:eastAsia="宋体"/>
          <w:b/>
          <w:i w:val="0"/>
          <w:sz w:val="21"/>
        </w:rPr>
        <w:t>单峰</w:t>
      </w:r>
      <w:r>
        <w:rPr>
          <w:rFonts w:ascii="Times New Roman" w:hAnsi="Times New Roman" w:eastAsia="宋体"/>
          <w:b w:val="0"/>
          <w:i w:val="0"/>
          <w:sz w:val="21"/>
        </w:rPr>
        <w:t>，内点最优出现在目标波动5.5%处（年化6.47%、最大回撤−4.15%），此后继续放大目标波动，收益不增反降（目标波动12%时年化降至5.37%）。交互项回归显示，回撤控制对收益-目标波动斜率的边际影响为−0.6209，抵消了主效应（+0.6479）的95.8%。机制检验表明，回撤控制使敞口实现率从0.831降至0.475，目标敞口提升92%仅换来有效敞口提升9.7%；而减仓最深的时期，其后250个交易日收益达8.94%，高于未减仓期的8.01%。block bootstrap 检验确认内点最优的夏普优势统计显著（ΔSharpe=+0.439，p=0.012）；关闭全部战术信号后分岔依然存在，排除了"分岔源于特定信号失效"的替代解释。进一步以效用、收益、风险三种口径量化两重约束的福利成本后发现：一旦叠加回撤约束，杠杆约束的福利成本即降至接近于零（最低至0.00个百分点），而回撤控制本身的成本达3.794个百分点，为前者的10.4倍——</w:t>
      </w:r>
      <w:r>
        <w:rPr>
          <w:rFonts w:ascii="Times New Roman" w:hAnsi="Times New Roman" w:eastAsia="宋体"/>
          <w:b/>
          <w:i w:val="0"/>
          <w:sz w:val="21"/>
        </w:rPr>
        <w:t>回撤约束而非杠杆约束，才是福利损失的主要来源</w:t>
      </w:r>
      <w:r>
        <w:rPr>
          <w:rFonts w:ascii="Times New Roman" w:hAnsi="Times New Roman" w:eastAsia="宋体"/>
          <w:b w:val="0"/>
          <w:i w:val="0"/>
          <w:sz w:val="21"/>
        </w:rPr>
        <w:t>。考虑到中国个人投资者A股账户已逾4.21亿户、广义"固收+"产品规模已达3.54万亿元，且其中绝大多数同时受"不能使用杠杆"与"必须控制回撤"两重约束，本文的结论意味着：</w:t>
      </w:r>
      <w:r>
        <w:rPr>
          <w:rFonts w:ascii="Times New Roman" w:hAnsi="Times New Roman" w:eastAsia="宋体"/>
          <w:b/>
          <w:i w:val="0"/>
          <w:sz w:val="21"/>
        </w:rPr>
        <w:t>在无法使用杠杆的条件下，风险预算并非"越用越有效"，叠加过多风控层会系统性地侵蚀收益</w:t>
      </w:r>
      <w:r>
        <w:rPr>
          <w:rFonts w:ascii="Times New Roman" w:hAnsi="Times New Roman" w:eastAsia="宋体"/>
          <w:b w:val="0"/>
          <w:i w:val="0"/>
          <w:sz w:val="21"/>
        </w:rPr>
        <w:t>；这一发现对零售投资者保护与"固收+"类产品设计具有直接的政策含义。</w:t>
      </w:r>
    </w:p>
    <w:p>
      <w:pPr>
        <w:spacing w:before="80" w:after="80" w:line="336" w:lineRule="auto"/>
      </w:pPr>
      <w:r>
        <w:rPr>
          <w:rFonts w:ascii="Times New Roman" w:hAnsi="Times New Roman" w:eastAsia="宋体"/>
          <w:b/>
          <w:i w:val="0"/>
          <w:sz w:val="21"/>
        </w:rPr>
        <w:t>关键词</w:t>
      </w:r>
      <w:r>
        <w:rPr>
          <w:rFonts w:ascii="Times New Roman" w:hAnsi="Times New Roman" w:eastAsia="宋体"/>
          <w:b w:val="0"/>
          <w:i w:val="0"/>
          <w:sz w:val="21"/>
        </w:rPr>
        <w:t>：波动率目标；回撤控制；组合保险；资产配置；零售投资者约束</w:t>
      </w:r>
    </w:p>
    <w:p>
      <w:pPr>
        <w:spacing w:before="80" w:after="80" w:line="336" w:lineRule="auto"/>
      </w:pPr>
      <w:r>
        <w:rPr>
          <w:rFonts w:ascii="Times New Roman" w:hAnsi="Times New Roman" w:eastAsia="宋体"/>
          <w:b/>
          <w:i w:val="0"/>
          <w:sz w:val="21"/>
        </w:rPr>
        <w:t>JEL 分类</w:t>
      </w:r>
      <w:r>
        <w:rPr>
          <w:rFonts w:ascii="Times New Roman" w:hAnsi="Times New Roman" w:eastAsia="宋体"/>
          <w:b w:val="0"/>
          <w:i w:val="0"/>
          <w:sz w:val="21"/>
        </w:rPr>
        <w:t>：G11, G12, G23</w:t>
      </w:r>
    </w:p>
    <w:p>
      <w:pPr>
        <w:spacing w:before="320" w:after="200" w:line="360" w:lineRule="auto"/>
        <w:jc w:val="center"/>
      </w:pPr>
      <w:r>
        <w:rPr>
          <w:rFonts w:ascii="Times New Roman" w:hAnsi="Times New Roman" w:eastAsia="黑体"/>
          <w:b/>
          <w:i w:val="0"/>
          <w:sz w:val="30"/>
        </w:rPr>
        <w:t>一、引言</w:t>
      </w:r>
    </w:p>
    <w:p>
      <w:pPr>
        <w:spacing w:before="240" w:after="100" w:line="360" w:lineRule="auto"/>
      </w:pPr>
      <w:r>
        <w:rPr>
          <w:rFonts w:ascii="Times New Roman" w:hAnsi="Times New Roman" w:eastAsia="黑体"/>
          <w:b/>
          <w:i w:val="0"/>
          <w:sz w:val="26"/>
        </w:rPr>
        <w:t>1.1 现实背景：一个规模巨大却被忽视的约束</w:t>
      </w:r>
    </w:p>
    <w:p>
      <w:pPr>
        <w:spacing w:before="0" w:after="60" w:line="360" w:lineRule="auto"/>
        <w:ind w:firstLine="480"/>
      </w:pPr>
      <w:r>
        <w:rPr>
          <w:rFonts w:ascii="Times New Roman" w:hAnsi="Times New Roman" w:eastAsia="宋体"/>
          <w:b w:val="0"/>
          <w:i w:val="0"/>
          <w:sz w:val="24"/>
        </w:rPr>
        <w:t>理解中国资产管理实践，必须从一组数量级出发。</w:t>
      </w:r>
    </w:p>
    <w:p>
      <w:pPr>
        <w:spacing w:before="0" w:after="60" w:line="360" w:lineRule="auto"/>
        <w:ind w:firstLine="480"/>
      </w:pPr>
      <w:r>
        <w:rPr>
          <w:rFonts w:ascii="Times New Roman" w:hAnsi="Times New Roman" w:eastAsia="宋体"/>
          <w:b/>
          <w:i w:val="0"/>
          <w:sz w:val="24"/>
        </w:rPr>
        <w:t>散户规模。</w:t>
      </w:r>
      <w:r>
        <w:rPr>
          <w:rFonts w:ascii="Times New Roman" w:hAnsi="Times New Roman" w:eastAsia="宋体"/>
          <w:b w:val="0"/>
          <w:i w:val="0"/>
          <w:sz w:val="24"/>
        </w:rPr>
        <w:t xml:space="preserve"> 根据上交所披露并经证券时报数据宝整理，截至2026年8月31日，个人投资者A股累计账户总数达</w:t>
      </w:r>
      <w:r>
        <w:rPr>
          <w:rFonts w:ascii="Times New Roman" w:hAnsi="Times New Roman" w:eastAsia="宋体"/>
          <w:b/>
          <w:i w:val="0"/>
          <w:sz w:val="24"/>
        </w:rPr>
        <w:t>4.21亿户</w:t>
      </w:r>
      <w:r>
        <w:rPr>
          <w:rFonts w:ascii="Times New Roman" w:hAnsi="Times New Roman" w:eastAsia="宋体"/>
          <w:b w:val="0"/>
          <w:i w:val="0"/>
          <w:sz w:val="24"/>
        </w:rPr>
        <w:t>；2026年上半年新开户中，个人投资者为2009.66万户，机构投资者仅6.47万户，个人占比</w:t>
      </w:r>
      <w:r>
        <w:rPr>
          <w:rFonts w:ascii="Times New Roman" w:hAnsi="Times New Roman" w:eastAsia="宋体"/>
          <w:b/>
          <w:i w:val="0"/>
          <w:sz w:val="24"/>
        </w:rPr>
        <w:t>99.7%</w:t>
      </w:r>
      <w:r>
        <w:rPr>
          <w:rFonts w:ascii="Times New Roman" w:hAnsi="Times New Roman" w:eastAsia="宋体"/>
          <w:b w:val="0"/>
          <w:i w:val="0"/>
          <w:sz w:val="24"/>
        </w:rPr>
        <w:t>。这是一个以个人投资者为绝对主体的市场。</w:t>
      </w:r>
    </w:p>
    <w:p>
      <w:pPr>
        <w:spacing w:before="0" w:after="60" w:line="360" w:lineRule="auto"/>
        <w:ind w:firstLine="480"/>
      </w:pPr>
      <w:r>
        <w:rPr>
          <w:rFonts w:ascii="Times New Roman" w:hAnsi="Times New Roman" w:eastAsia="宋体"/>
          <w:b/>
          <w:i w:val="0"/>
          <w:sz w:val="24"/>
        </w:rPr>
        <w:t>杠杆可得性。</w:t>
      </w:r>
      <w:r>
        <w:rPr>
          <w:rFonts w:ascii="Times New Roman" w:hAnsi="Times New Roman" w:eastAsia="宋体"/>
          <w:b w:val="0"/>
          <w:i w:val="0"/>
          <w:sz w:val="24"/>
        </w:rPr>
        <w:t xml:space="preserve"> 融资融券是境内个人投资者获取杠杆的主要合法渠道，其门槛为"前20个交易日日均证券类资产不低于50万元且交易经验满6个月"。据交易所数据，2026年6月参与融资融券的个人投资者为</w:t>
      </w:r>
      <w:r>
        <w:rPr>
          <w:rFonts w:ascii="Times New Roman" w:hAnsi="Times New Roman" w:eastAsia="宋体"/>
          <w:b/>
          <w:i w:val="0"/>
          <w:sz w:val="24"/>
        </w:rPr>
        <w:t>824.55万名</w:t>
      </w:r>
      <w:r>
        <w:rPr>
          <w:rFonts w:ascii="Times New Roman" w:hAnsi="Times New Roman" w:eastAsia="宋体"/>
          <w:b w:val="0"/>
          <w:i w:val="0"/>
          <w:sz w:val="24"/>
        </w:rPr>
        <w:t>。以4.21亿户个人账户为分母，具备两融资格的个人账户占比约为</w:t>
      </w:r>
      <w:r>
        <w:rPr>
          <w:rFonts w:ascii="Times New Roman" w:hAnsi="Times New Roman" w:eastAsia="宋体"/>
          <w:b/>
          <w:i w:val="0"/>
          <w:sz w:val="24"/>
        </w:rPr>
        <w:t>2.0%</w:t>
      </w:r>
      <w:r>
        <w:rPr>
          <w:rFonts w:ascii="Times New Roman" w:hAnsi="Times New Roman" w:eastAsia="宋体"/>
          <w:b w:val="0"/>
          <w:i w:val="0"/>
          <w:sz w:val="24"/>
        </w:rPr>
        <w:t>（本文根据两项公开数据估算）——即</w:t>
      </w:r>
      <w:r>
        <w:rPr>
          <w:rFonts w:ascii="Times New Roman" w:hAnsi="Times New Roman" w:eastAsia="宋体"/>
          <w:b/>
          <w:i w:val="0"/>
          <w:sz w:val="24"/>
        </w:rPr>
        <w:t>超过98%的个人投资者账户受到 Ē=1 的硬约束</w:t>
      </w:r>
      <w:r>
        <w:rPr>
          <w:rFonts w:ascii="Times New Roman" w:hAnsi="Times New Roman" w:eastAsia="宋体"/>
          <w:b w:val="0"/>
          <w:i w:val="0"/>
          <w:sz w:val="24"/>
        </w:rPr>
        <w:t>。与此同时，行业统计显示账户日均资产在50万元以下的投资者占比在92%—97%之间（不同口径）。这意味着：</w:t>
      </w:r>
      <w:r>
        <w:rPr>
          <w:rFonts w:ascii="Times New Roman" w:hAnsi="Times New Roman" w:eastAsia="宋体"/>
          <w:b/>
          <w:i w:val="0"/>
          <w:sz w:val="24"/>
        </w:rPr>
        <w:t xml:space="preserve"> Ē=1 不是理论抽象，而是中国绝大多数个人投资者的真实处境</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机构侧的同构约束。</w:t>
      </w:r>
      <w:r>
        <w:rPr>
          <w:rFonts w:ascii="Times New Roman" w:hAnsi="Times New Roman" w:eastAsia="宋体"/>
          <w:b w:val="0"/>
          <w:i w:val="0"/>
          <w:sz w:val="24"/>
        </w:rPr>
        <w:t xml:space="preserve"> 这一约束并非散户独有。2026年一季度末，广义"固收+"产品（含混合债券型一级、二级债基及偏债混合型基金）规模达</w:t>
      </w:r>
      <w:r>
        <w:rPr>
          <w:rFonts w:ascii="Times New Roman" w:hAnsi="Times New Roman" w:eastAsia="宋体"/>
          <w:b/>
          <w:i w:val="0"/>
          <w:sz w:val="24"/>
        </w:rPr>
        <w:t>3.54万亿元</w:t>
      </w:r>
      <w:r>
        <w:rPr>
          <w:rFonts w:ascii="Times New Roman" w:hAnsi="Times New Roman" w:eastAsia="宋体"/>
          <w:b w:val="0"/>
          <w:i w:val="0"/>
          <w:sz w:val="24"/>
        </w:rPr>
        <w:t>（中金公司口径），同比增长74%，创历史新高；Wind口径下二季度末约3.52万亿元。这类产品的基金合同普遍将权益仓位限定在0—40%区间，且客户明确提出"不能出现年度亏损"的诉求——</w:t>
      </w:r>
      <w:r>
        <w:rPr>
          <w:rFonts w:ascii="Times New Roman" w:hAnsi="Times New Roman" w:eastAsia="宋体"/>
          <w:b/>
          <w:i w:val="0"/>
          <w:sz w:val="24"/>
        </w:rPr>
        <w:t>后者恰恰构成了强制性的回撤控制要求</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一个值得警惕的行业现象。</w:t>
      </w:r>
      <w:r>
        <w:rPr>
          <w:rFonts w:ascii="Times New Roman" w:hAnsi="Times New Roman" w:eastAsia="宋体"/>
          <w:b w:val="0"/>
          <w:i w:val="0"/>
          <w:sz w:val="24"/>
        </w:rPr>
        <w:t xml:space="preserve"> 《经济参考报》（2026年5月6日）在报道"固收+"规模狂欢时指出："部分机构为了冲规模，在产品设计上过度迎合渠道需求，</w:t>
      </w:r>
      <w:r>
        <w:rPr>
          <w:rFonts w:ascii="Times New Roman" w:hAnsi="Times New Roman" w:eastAsia="宋体"/>
          <w:b/>
          <w:i w:val="0"/>
          <w:sz w:val="24"/>
        </w:rPr>
        <w:t>权益仓位弹性空间被压缩</w:t>
      </w:r>
      <w:r>
        <w:rPr>
          <w:rFonts w:ascii="Times New Roman" w:hAnsi="Times New Roman" w:eastAsia="宋体"/>
          <w:b w:val="0"/>
          <w:i w:val="0"/>
          <w:sz w:val="24"/>
        </w:rPr>
        <w:t>，债券底仓则通过拉长久期、下沉信用来获取收益，本质上是在用信用风险和流动性风险置换所谓的稳健收益。"这段观察精确地描述了本文所研究的问题：</w:t>
      </w:r>
      <w:r>
        <w:rPr>
          <w:rFonts w:ascii="Times New Roman" w:hAnsi="Times New Roman" w:eastAsia="宋体"/>
          <w:b/>
          <w:i w:val="0"/>
          <w:sz w:val="24"/>
        </w:rPr>
        <w:t>当回撤约束被刚性绑定、同时杠杆通道被关闭时，管理人只能在"压缩弹性"与"下沉信用"之间做选择——两者都是代价</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规模换算的量级。</w:t>
      </w:r>
      <w:r>
        <w:rPr>
          <w:rFonts w:ascii="Times New Roman" w:hAnsi="Times New Roman" w:eastAsia="宋体"/>
          <w:b w:val="0"/>
          <w:i w:val="0"/>
          <w:sz w:val="24"/>
        </w:rPr>
        <w:t xml:space="preserve"> 将约束与规模并置，可得一个粗略但直观的量级估算。"固收+"产品的3.54万亿元规模中，按基金合同权益仓位0—40%的中位（约20%）计，受本文所研究机制直接影响的权益资产约为0.71万亿元。第七节的测算表明，回撤控制带来约3.79个百分点的年化收益当量损失，对应</w:t>
      </w:r>
      <w:r>
        <w:rPr>
          <w:rFonts w:ascii="Times New Roman" w:hAnsi="Times New Roman" w:eastAsia="宋体"/>
          <w:b/>
          <w:i w:val="0"/>
          <w:sz w:val="24"/>
        </w:rPr>
        <w:t>每年约269亿元</w:t>
      </w:r>
      <w:r>
        <w:rPr>
          <w:rFonts w:ascii="Times New Roman" w:hAnsi="Times New Roman" w:eastAsia="宋体"/>
          <w:b w:val="0"/>
          <w:i w:val="0"/>
          <w:sz w:val="24"/>
        </w:rPr>
        <w:t>的机会成本；而杠杆约束的成本仅约0.36个百分点，对应约26亿元——</w:t>
      </w:r>
      <w:r>
        <w:rPr>
          <w:rFonts w:ascii="Times New Roman" w:hAnsi="Times New Roman" w:eastAsia="宋体"/>
          <w:b/>
          <w:i w:val="0"/>
          <w:sz w:val="24"/>
        </w:rPr>
        <w:t>两者相差一个数量级</w:t>
      </w:r>
      <w:r>
        <w:rPr>
          <w:rFonts w:ascii="Times New Roman" w:hAnsi="Times New Roman" w:eastAsia="宋体"/>
          <w:b w:val="0"/>
          <w:i w:val="0"/>
          <w:sz w:val="24"/>
        </w:rPr>
        <w:t>。这一测算当然是粗略的（未考虑各产品实际仓位、信号与执行差异），但它足以说明一个排序问题：</w:t>
      </w:r>
      <w:r>
        <w:rPr>
          <w:rFonts w:ascii="Times New Roman" w:hAnsi="Times New Roman" w:eastAsia="宋体"/>
          <w:b/>
          <w:i w:val="0"/>
          <w:sz w:val="24"/>
        </w:rPr>
        <w:t>在讨论"如何改善受约束投资者的福利"时，约束之间的优先级，比约束本身更值得关注</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将上述事实归纳，可得本文研究的现实情境：</w:t>
      </w:r>
    </w:p>
    <w:p>
      <w:pPr>
        <w:spacing w:before="120" w:after="120" w:line="336" w:lineRule="auto"/>
        <w:ind w:left="480" w:right="480"/>
      </w:pPr>
      <w:r>
        <w:rPr>
          <w:rFonts w:ascii="Times New Roman" w:hAnsi="Times New Roman" w:eastAsia="楷体"/>
          <w:b w:val="0"/>
          <w:i w:val="0"/>
          <w:sz w:val="22"/>
        </w:rPr>
        <w:t>在中国，数以亿计的个人投资者与数万亿规模的"固收+"产品，同时面临**"不能使用杠杆"**与**"必须控制回撤"**两重约束。而恰恰是在这两重约束的交汇处，波动率目标与回撤控制的交互效应既未被理论刻画，也未被实证检验。</w:t>
      </w:r>
    </w:p>
    <w:p>
      <w:pPr>
        <w:spacing w:before="240" w:after="100" w:line="360" w:lineRule="auto"/>
      </w:pPr>
      <w:r>
        <w:rPr>
          <w:rFonts w:ascii="Times New Roman" w:hAnsi="Times New Roman" w:eastAsia="黑体"/>
          <w:b/>
          <w:i w:val="0"/>
          <w:sz w:val="26"/>
        </w:rPr>
        <w:t>1.2 问题的提出</w:t>
      </w:r>
    </w:p>
    <w:p>
      <w:pPr>
        <w:spacing w:before="0" w:after="60" w:line="360" w:lineRule="auto"/>
        <w:ind w:firstLine="480"/>
      </w:pPr>
      <w:r>
        <w:rPr>
          <w:rFonts w:ascii="Times New Roman" w:hAnsi="Times New Roman" w:eastAsia="宋体"/>
          <w:b w:val="0"/>
          <w:i w:val="0"/>
          <w:sz w:val="24"/>
        </w:rPr>
        <w:t>资产管理实践中，"用什么方法控制风险"往往比"买什么资产"更能决定长期结果。过去四十年间，学术界与业界发展出三类主流的规则型风险overlay：以 Black and Jones（1987）、Perold and Sharpe（1988）为代表的组合保险（CPPI/TIPP），以 Fleming et al.（2001, 2003）、Moreira and Muir（2017）为代表的波动率择时，以及以保护移动高水位线为目标的回撤控制。三者的共同特征是：</w:t>
      </w:r>
      <w:r>
        <w:rPr>
          <w:rFonts w:ascii="Times New Roman" w:hAnsi="Times New Roman" w:eastAsia="宋体"/>
          <w:b/>
          <w:i w:val="0"/>
          <w:sz w:val="24"/>
        </w:rPr>
        <w:t>不预测市场，只对已发生的风险做出机械反应</w:t>
      </w:r>
      <w:r>
        <w:rPr>
          <w:rFonts w:ascii="Times New Roman" w:hAnsi="Times New Roman" w:eastAsia="宋体"/>
          <w:b w:val="0"/>
          <w:i w:val="0"/>
          <w:sz w:val="24"/>
        </w:rPr>
        <w:t>——这既是它们的优势（无需预测能力），也是它们的软肋（总是在坏消息之后才行动）。</w:t>
      </w:r>
    </w:p>
    <w:p>
      <w:pPr>
        <w:spacing w:before="0" w:after="60" w:line="360" w:lineRule="auto"/>
        <w:ind w:firstLine="480"/>
      </w:pPr>
      <w:r>
        <w:rPr>
          <w:rFonts w:ascii="Times New Roman" w:hAnsi="Times New Roman" w:eastAsia="宋体"/>
          <w:b w:val="0"/>
          <w:i w:val="0"/>
          <w:sz w:val="24"/>
        </w:rPr>
        <w:t>一个在实务中被广泛采用却鲜有学术研究检验的做法是：</w:t>
      </w:r>
      <w:r>
        <w:rPr>
          <w:rFonts w:ascii="Times New Roman" w:hAnsi="Times New Roman" w:eastAsia="宋体"/>
          <w:b/>
          <w:i w:val="0"/>
          <w:sz w:val="24"/>
        </w:rPr>
        <w:t>同时使用多层风控</w:t>
      </w:r>
      <w:r>
        <w:rPr>
          <w:rFonts w:ascii="Times New Roman" w:hAnsi="Times New Roman" w:eastAsia="宋体"/>
          <w:b w:val="0"/>
          <w:i w:val="0"/>
          <w:sz w:val="24"/>
        </w:rPr>
        <w:t>。国内券商的"固收+"产品设计普遍采用"战略配置→战术择时→资金管理（TIPP）"的三层架构；国泰君安等机构的多资产配置研究明确将"波动率目标控仓"与"崩溃空仓机制"作为两层并列的风控手段。这一做法隐含的假设是：多层风控的效果可以叠加，风险下降而收益大致保持。</w:t>
      </w:r>
    </w:p>
    <w:p>
      <w:pPr>
        <w:spacing w:before="0" w:after="60" w:line="360" w:lineRule="auto"/>
        <w:ind w:firstLine="480"/>
      </w:pPr>
      <w:r>
        <w:rPr>
          <w:rFonts w:ascii="Times New Roman" w:hAnsi="Times New Roman" w:eastAsia="宋体"/>
          <w:b w:val="0"/>
          <w:i w:val="0"/>
          <w:sz w:val="24"/>
        </w:rPr>
        <w:t>本文的核心问题是：</w:t>
      </w:r>
      <w:r>
        <w:rPr>
          <w:rFonts w:ascii="Times New Roman" w:hAnsi="Times New Roman" w:eastAsia="宋体"/>
          <w:b/>
          <w:i w:val="0"/>
          <w:sz w:val="24"/>
        </w:rPr>
        <w:t>这个假设成立吗？</w:t>
      </w:r>
    </w:p>
    <w:p>
      <w:pPr>
        <w:spacing w:before="240" w:after="100" w:line="360" w:lineRule="auto"/>
      </w:pPr>
      <w:r>
        <w:rPr>
          <w:rFonts w:ascii="Times New Roman" w:hAnsi="Times New Roman" w:eastAsia="黑体"/>
          <w:b/>
          <w:i w:val="0"/>
          <w:sz w:val="26"/>
        </w:rPr>
        <w:t>1.3 为什么这个问题重要</w:t>
      </w:r>
    </w:p>
    <w:p>
      <w:pPr>
        <w:spacing w:before="0" w:after="60" w:line="360" w:lineRule="auto"/>
        <w:ind w:firstLine="480"/>
      </w:pPr>
      <w:r>
        <w:rPr>
          <w:rFonts w:ascii="Times New Roman" w:hAnsi="Times New Roman" w:eastAsia="宋体"/>
          <w:b w:val="0"/>
          <w:i w:val="0"/>
          <w:sz w:val="24"/>
        </w:rPr>
        <w:t xml:space="preserve">Moreira and Muir（2017）在 </w:t>
      </w:r>
      <w:r>
        <w:rPr>
          <w:rFonts w:ascii="Times New Roman" w:hAnsi="Times New Roman" w:eastAsia="宋体"/>
          <w:b w:val="0"/>
          <w:i w:val="0"/>
          <w:sz w:val="24"/>
        </w:rPr>
        <w:t>*Journal of Finance*</w:t>
      </w:r>
      <w:r>
        <w:rPr>
          <w:rFonts w:ascii="Times New Roman" w:hAnsi="Times New Roman" w:eastAsia="宋体"/>
          <w:b w:val="0"/>
          <w:i w:val="0"/>
          <w:sz w:val="24"/>
        </w:rPr>
        <w:t xml:space="preserve"> 发表的研究表明，通过"低波动时加仓、高波动时减仓"的波动率管理，可以显著提升夏普比率。但该结论随即受到质疑：Liu et al.（2019）指出其方差缩放系数存在 look-ahead bias；Cederburg et al.（2020）在 </w:t>
      </w:r>
      <w:r>
        <w:rPr>
          <w:rFonts w:ascii="Times New Roman" w:hAnsi="Times New Roman" w:eastAsia="宋体"/>
          <w:b w:val="0"/>
          <w:i w:val="0"/>
          <w:sz w:val="24"/>
        </w:rPr>
        <w:t>*JFE*</w:t>
      </w:r>
      <w:r>
        <w:rPr>
          <w:rFonts w:ascii="Times New Roman" w:hAnsi="Times New Roman" w:eastAsia="宋体"/>
          <w:b w:val="0"/>
          <w:i w:val="0"/>
          <w:sz w:val="24"/>
        </w:rPr>
        <w:t xml:space="preserve"> 上用103个股票策略证明，实时实施下72%的策略跑输未管理组合；Bongaerts et al.（2020）在 </w:t>
      </w:r>
      <w:r>
        <w:rPr>
          <w:rFonts w:ascii="Times New Roman" w:hAnsi="Times New Roman" w:eastAsia="宋体"/>
          <w:b w:val="0"/>
          <w:i w:val="0"/>
          <w:sz w:val="24"/>
        </w:rPr>
        <w:t>*FAJ*</w:t>
      </w:r>
      <w:r>
        <w:rPr>
          <w:rFonts w:ascii="Times New Roman" w:hAnsi="Times New Roman" w:eastAsia="宋体"/>
          <w:b w:val="0"/>
          <w:i w:val="0"/>
          <w:sz w:val="24"/>
        </w:rPr>
        <w:t xml:space="preserve"> 上进一步指出，传统波动率目标会显著"超调"波动目标，反而扩大最大回撤与尾部风险。</w:t>
      </w:r>
    </w:p>
    <w:p>
      <w:pPr>
        <w:spacing w:before="0" w:after="60" w:line="360" w:lineRule="auto"/>
        <w:ind w:firstLine="480"/>
      </w:pPr>
      <w:r>
        <w:rPr>
          <w:rFonts w:ascii="Times New Roman" w:hAnsi="Times New Roman" w:eastAsia="宋体"/>
          <w:b w:val="0"/>
          <w:i w:val="0"/>
          <w:sz w:val="24"/>
        </w:rPr>
        <w:t>这场争论有一个</w:t>
      </w:r>
      <w:r>
        <w:rPr>
          <w:rFonts w:ascii="Times New Roman" w:hAnsi="Times New Roman" w:eastAsia="宋体"/>
          <w:b/>
          <w:i w:val="0"/>
          <w:sz w:val="24"/>
        </w:rPr>
        <w:t>被忽视的共同前提</w:t>
      </w:r>
      <w:r>
        <w:rPr>
          <w:rFonts w:ascii="Times New Roman" w:hAnsi="Times New Roman" w:eastAsia="宋体"/>
          <w:b w:val="0"/>
          <w:i w:val="0"/>
          <w:sz w:val="24"/>
        </w:rPr>
        <w:t>：上述研究几乎全部假设投资者可以自由调整杠杆——Moreira-Muir 框架中"低波动时加仓"本质上是加杠杆。然而，现实中存在大量</w:t>
      </w:r>
      <w:r>
        <w:rPr>
          <w:rFonts w:ascii="Times New Roman" w:hAnsi="Times New Roman" w:eastAsia="宋体"/>
          <w:b/>
          <w:i w:val="0"/>
          <w:sz w:val="24"/>
        </w:rPr>
        <w:t>无法使用杠杆</w:t>
      </w:r>
      <w:r>
        <w:rPr>
          <w:rFonts w:ascii="Times New Roman" w:hAnsi="Times New Roman" w:eastAsia="宋体"/>
          <w:b w:val="0"/>
          <w:i w:val="0"/>
          <w:sz w:val="24"/>
        </w:rPr>
        <w:t>的投资者：中国零售投资者受限于融资融券门槛（50万元资产+6个月交易经验）、场内ETF无杠杆品种、以及"固收+"产品的合同约束（权益仓位通常被限定在0—40%）。在 Ē=1 的约束下，波动率目标函数 e^V=min(σ*/σ̂, 1) 被截断，"加仓"通道关闭，只剩下"减仓"通道——这从根本上改变了策略的性质。</w:t>
      </w:r>
    </w:p>
    <w:p>
      <w:pPr>
        <w:spacing w:before="0" w:after="60" w:line="360" w:lineRule="auto"/>
        <w:ind w:firstLine="480"/>
      </w:pPr>
      <w:r>
        <w:rPr>
          <w:rFonts w:ascii="Times New Roman" w:hAnsi="Times New Roman" w:eastAsia="宋体"/>
          <w:b w:val="0"/>
          <w:i w:val="0"/>
          <w:sz w:val="24"/>
        </w:rPr>
        <w:t>更关键的是，当回撤控制以乘性方式叠加其上时，两层风控的减仓动作会</w:t>
      </w:r>
      <w:r>
        <w:rPr>
          <w:rFonts w:ascii="Times New Roman" w:hAnsi="Times New Roman" w:eastAsia="宋体"/>
          <w:b/>
          <w:i w:val="0"/>
          <w:sz w:val="24"/>
        </w:rPr>
        <w:t>在同一时期同步发生</w:t>
      </w:r>
      <w:r>
        <w:rPr>
          <w:rFonts w:ascii="Times New Roman" w:hAnsi="Times New Roman" w:eastAsia="宋体"/>
          <w:b w:val="0"/>
          <w:i w:val="0"/>
          <w:sz w:val="24"/>
        </w:rPr>
        <w:t>（因为高波动期恰恰也是回撤最深期），形成本文所称的</w:t>
      </w:r>
      <w:r>
        <w:rPr>
          <w:rFonts w:ascii="Times New Roman" w:hAnsi="Times New Roman" w:eastAsia="宋体"/>
          <w:b/>
          <w:i w:val="0"/>
          <w:sz w:val="24"/>
        </w:rPr>
        <w:t>"双重去杠杆陷阱"（Double Deleveraging Trap）</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1.4 主要发现</w:t>
      </w:r>
    </w:p>
    <w:p>
      <w:pPr>
        <w:spacing w:before="0" w:after="60" w:line="360" w:lineRule="auto"/>
        <w:ind w:firstLine="480"/>
      </w:pPr>
      <w:r>
        <w:rPr>
          <w:rFonts w:ascii="Times New Roman" w:hAnsi="Times New Roman" w:eastAsia="宋体"/>
          <w:b w:val="0"/>
          <w:i w:val="0"/>
          <w:sz w:val="24"/>
        </w:rPr>
        <w:t>本文的实证结果可概括为四个层次：</w:t>
      </w:r>
    </w:p>
    <w:p>
      <w:pPr>
        <w:spacing w:before="0" w:after="60" w:line="360" w:lineRule="auto"/>
        <w:ind w:firstLine="480"/>
      </w:pPr>
      <w:r>
        <w:rPr>
          <w:rFonts w:ascii="Times New Roman" w:hAnsi="Times New Roman" w:eastAsia="宋体"/>
          <w:b/>
          <w:i w:val="0"/>
          <w:sz w:val="24"/>
        </w:rPr>
        <w:t>第一，前沿形状的分岔。</w:t>
      </w:r>
      <w:r>
        <w:rPr>
          <w:rFonts w:ascii="Times New Roman" w:hAnsi="Times New Roman" w:eastAsia="宋体"/>
          <w:b w:val="0"/>
          <w:i w:val="0"/>
          <w:sz w:val="24"/>
        </w:rPr>
        <w:t xml:space="preserve"> 单独使用波动率目标时，年化收益随目标波动单调递增（3%→12%对应 5.48%→11.28%）；叠加回撤控制后，前沿转变为单峰曲线，内点最优出现在目标波动5.5%（年化6.47%、最大回撤−4.15%、夏普1.43、卡玛1.56），此后继续放大目标波动，年化收益反而下降至5.37%（目标波动12%）。</w:t>
      </w:r>
    </w:p>
    <w:p>
      <w:pPr>
        <w:spacing w:before="0" w:after="60" w:line="360" w:lineRule="auto"/>
        <w:ind w:firstLine="480"/>
      </w:pPr>
      <w:r>
        <w:rPr>
          <w:rFonts w:ascii="Times New Roman" w:hAnsi="Times New Roman" w:eastAsia="宋体"/>
          <w:b/>
          <w:i w:val="0"/>
          <w:sz w:val="24"/>
        </w:rPr>
        <w:t>第二，交互效应的量化。</w:t>
      </w:r>
      <w:r>
        <w:rPr>
          <w:rFonts w:ascii="Times New Roman" w:hAnsi="Times New Roman" w:eastAsia="宋体"/>
          <w:b w:val="0"/>
          <w:i w:val="0"/>
          <w:sz w:val="24"/>
        </w:rPr>
        <w:t xml:space="preserve"> 交互项回归（N=16，R²=0.945）显示，回撤控制对"收益-目标波动"斜率的边际影响为 −0.6209（p&lt;0.001），几乎完全抵消主效应 +0.6479（抵消幅度95.8%）。block bootstrap（block=21日，2000次）确认内点最优相对高目标波动的夏普优势为 +0.439（95%CI [0.092, 0.772]，p=0.012）。</w:t>
      </w:r>
    </w:p>
    <w:p>
      <w:pPr>
        <w:spacing w:before="0" w:after="60" w:line="360" w:lineRule="auto"/>
        <w:ind w:firstLine="480"/>
      </w:pPr>
      <w:r>
        <w:rPr>
          <w:rFonts w:ascii="Times New Roman" w:hAnsi="Times New Roman" w:eastAsia="宋体"/>
          <w:b/>
          <w:i w:val="0"/>
          <w:sz w:val="24"/>
        </w:rPr>
        <w:t>第三，机制的识别。</w:t>
      </w:r>
      <w:r>
        <w:rPr>
          <w:rFonts w:ascii="Times New Roman" w:hAnsi="Times New Roman" w:eastAsia="宋体"/>
          <w:b w:val="0"/>
          <w:i w:val="0"/>
          <w:sz w:val="24"/>
        </w:rPr>
        <w:t xml:space="preserve"> 回撤控制使</w:t>
      </w:r>
      <w:r>
        <w:rPr>
          <w:rFonts w:ascii="Times New Roman" w:hAnsi="Times New Roman" w:eastAsia="宋体"/>
          <w:b/>
          <w:i w:val="0"/>
          <w:sz w:val="24"/>
        </w:rPr>
        <w:t>敞口实现率</w:t>
      </w:r>
      <w:r>
        <w:rPr>
          <w:rFonts w:ascii="Times New Roman" w:hAnsi="Times New Roman" w:eastAsia="宋体"/>
          <w:b w:val="0"/>
          <w:i w:val="0"/>
          <w:sz w:val="24"/>
        </w:rPr>
        <w:t>（实际波动/目标波动）从0.831（σ</w:t>
      </w:r>
      <w:r>
        <w:rPr>
          <w:rFonts w:ascii="Times New Roman" w:hAnsi="Times New Roman" w:eastAsia="宋体"/>
          <w:b w:val="0"/>
          <w:i w:val="0"/>
          <w:sz w:val="24"/>
        </w:rPr>
        <w:t>*=5.5%）单调降至0.475（σ*</w:t>
      </w:r>
      <w:r>
        <w:rPr>
          <w:rFonts w:ascii="Times New Roman" w:hAnsi="Times New Roman" w:eastAsia="宋体"/>
          <w:b w:val="0"/>
          <w:i w:val="0"/>
          <w:sz w:val="24"/>
        </w:rPr>
        <w:t>=12%），敞口削减比例从27.6%升至58.7%。具体看，目标敞口从0.444提升至0.852（+92%），但有效敞口仅从0.321升至0.352（+9.7%）。收益归因分解显示，回撤控制吞噬的主要是"敞口效应"（σ</w:t>
      </w:r>
      <w:r>
        <w:rPr>
          <w:rFonts w:ascii="Times New Roman" w:hAnsi="Times New Roman" w:eastAsia="宋体"/>
          <w:b w:val="0"/>
          <w:i w:val="0"/>
          <w:sz w:val="24"/>
        </w:rPr>
        <w:t>*=12%时从10.36%降至4.28%），并使"择时效应"腰斩（2.71%→1.35%）。最反直觉的证据来自事件研究：减仓最深的时期（仓位被压至15%），其后250个交易日的收益达8.94%，*</w:t>
      </w:r>
      <w:r>
        <w:rPr>
          <w:rFonts w:ascii="Times New Roman" w:hAnsi="Times New Roman" w:eastAsia="宋体"/>
          <w:b w:val="0"/>
          <w:i w:val="0"/>
          <w:sz w:val="24"/>
        </w:rPr>
        <w:t>*高于*</w:t>
      </w:r>
      <w:r>
        <w:rPr>
          <w:rFonts w:ascii="Times New Roman" w:hAnsi="Times New Roman" w:eastAsia="宋体"/>
          <w:b w:val="0"/>
          <w:i w:val="0"/>
          <w:sz w:val="24"/>
        </w:rPr>
        <w:t>*未减仓期的8.01%。</w:t>
      </w:r>
    </w:p>
    <w:p>
      <w:pPr>
        <w:spacing w:before="0" w:after="60" w:line="360" w:lineRule="auto"/>
        <w:ind w:firstLine="480"/>
      </w:pPr>
      <w:r>
        <w:rPr>
          <w:rFonts w:ascii="Times New Roman" w:hAnsi="Times New Roman" w:eastAsia="宋体"/>
          <w:b/>
          <w:i w:val="0"/>
          <w:sz w:val="24"/>
        </w:rPr>
        <w:t>第四，约束成本的量化逆转了关于杠杆的直觉。</w:t>
      </w:r>
      <w:r>
        <w:rPr>
          <w:rFonts w:ascii="Times New Roman" w:hAnsi="Times New Roman" w:eastAsia="宋体"/>
          <w:b w:val="0"/>
          <w:i w:val="0"/>
          <w:sz w:val="24"/>
        </w:rPr>
        <w:t xml:space="preserve"> 以效用、收益、风险三种口径度量，一旦叠加回撤约束，杠杆约束的福利成本即降至接近于零（γ=1 效用口径0.363pp；回撤上限6%时收益口径−0.09pp；收益目标≤6%时风险口径0.00pp），而回撤控制本身的成本高达3.794pp。这意味着在两重约束中，</w:t>
      </w:r>
      <w:r>
        <w:rPr>
          <w:rFonts w:ascii="Times New Roman" w:hAnsi="Times New Roman" w:eastAsia="宋体"/>
          <w:b/>
          <w:i w:val="0"/>
          <w:sz w:val="24"/>
        </w:rPr>
        <w:t>回撤约束才是福利损失的主要来源</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1.5 边际贡献</w:t>
      </w:r>
    </w:p>
    <w:p>
      <w:pPr>
        <w:spacing w:before="0" w:after="60" w:line="360" w:lineRule="auto"/>
        <w:ind w:firstLine="480"/>
      </w:pPr>
      <w:r>
        <w:rPr>
          <w:rFonts w:ascii="Times New Roman" w:hAnsi="Times New Roman" w:eastAsia="宋体"/>
          <w:b w:val="0"/>
          <w:i w:val="0"/>
          <w:sz w:val="24"/>
        </w:rPr>
        <w:t>本文的边际贡献体现在四个方面：</w:t>
      </w:r>
    </w:p>
    <w:p>
      <w:pPr>
        <w:spacing w:before="0" w:after="60" w:line="360" w:lineRule="auto"/>
        <w:ind w:firstLine="480"/>
      </w:pPr>
      <w:r>
        <w:rPr>
          <w:rFonts w:ascii="Times New Roman" w:hAnsi="Times New Roman" w:eastAsia="宋体"/>
          <w:b w:val="0"/>
          <w:i w:val="0"/>
          <w:sz w:val="24"/>
        </w:rPr>
        <w:t>其一，</w:t>
      </w:r>
      <w:r>
        <w:rPr>
          <w:rFonts w:ascii="Times New Roman" w:hAnsi="Times New Roman" w:eastAsia="宋体"/>
          <w:b/>
          <w:i w:val="0"/>
          <w:sz w:val="24"/>
        </w:rPr>
        <w:t>拓展了波动率择时的研究边界</w:t>
      </w:r>
      <w:r>
        <w:rPr>
          <w:rFonts w:ascii="Times New Roman" w:hAnsi="Times New Roman" w:eastAsia="宋体"/>
          <w:b w:val="0"/>
          <w:i w:val="0"/>
          <w:sz w:val="24"/>
        </w:rPr>
        <w:t>。既有文献（Moreira and Muir, 2017; Cederburg et al., 2020; Bongaerts et al., 2020）均以可自由加杠杆为前提，本文首次系统考察无杠杆约束（Ē=1）下的波动率目标，证明其收益-风险前沿的形状与有杠杆情形存在本质差异。这解释了为何实务中"波动率目标效果不稳定"——效果差异的根源可能不在市场，而在杠杆约束。</w:t>
      </w:r>
    </w:p>
    <w:p>
      <w:pPr>
        <w:spacing w:before="0" w:after="60" w:line="360" w:lineRule="auto"/>
        <w:ind w:firstLine="480"/>
      </w:pPr>
      <w:r>
        <w:rPr>
          <w:rFonts w:ascii="Times New Roman" w:hAnsi="Times New Roman" w:eastAsia="宋体"/>
          <w:b w:val="0"/>
          <w:i w:val="0"/>
          <w:sz w:val="24"/>
        </w:rPr>
        <w:t>其二，</w:t>
      </w:r>
      <w:r>
        <w:rPr>
          <w:rFonts w:ascii="Times New Roman" w:hAnsi="Times New Roman" w:eastAsia="宋体"/>
          <w:b/>
          <w:i w:val="0"/>
          <w:sz w:val="24"/>
        </w:rPr>
        <w:t>提出并验证了"双重去杠杆陷阱"这一新机制</w:t>
      </w:r>
      <w:r>
        <w:rPr>
          <w:rFonts w:ascii="Times New Roman" w:hAnsi="Times New Roman" w:eastAsia="宋体"/>
          <w:b w:val="0"/>
          <w:i w:val="0"/>
          <w:sz w:val="24"/>
        </w:rPr>
        <w:t>。既有研究孤立评估单层风控，本文证明两层风控之间存在显著的负交互，且该交互无法通过学习放松杠杆约束来化解（放松至 Ē=2 后，内点最优依然存在，末端衰减仅从0.67pp降至0.14pp）。其机制在于：回撤控制的削减是</w:t>
      </w:r>
      <w:r>
        <w:rPr>
          <w:rFonts w:ascii="Times New Roman" w:hAnsi="Times New Roman" w:eastAsia="宋体"/>
          <w:b/>
          <w:i w:val="0"/>
          <w:sz w:val="24"/>
        </w:rPr>
        <w:t>乘性</w:t>
      </w:r>
      <w:r>
        <w:rPr>
          <w:rFonts w:ascii="Times New Roman" w:hAnsi="Times New Roman" w:eastAsia="宋体"/>
          <w:b w:val="0"/>
          <w:i w:val="0"/>
          <w:sz w:val="24"/>
        </w:rPr>
        <w:t>的，杠杆只能放大第一层的产出，无法对抗第二层的削减比例。</w:t>
      </w:r>
    </w:p>
    <w:p>
      <w:pPr>
        <w:spacing w:before="0" w:after="60" w:line="360" w:lineRule="auto"/>
        <w:ind w:firstLine="480"/>
      </w:pPr>
      <w:r>
        <w:rPr>
          <w:rFonts w:ascii="Times New Roman" w:hAnsi="Times New Roman" w:eastAsia="宋体"/>
          <w:b w:val="0"/>
          <w:i w:val="0"/>
          <w:sz w:val="24"/>
        </w:rPr>
        <w:t>其三，</w:t>
      </w:r>
      <w:r>
        <w:rPr>
          <w:rFonts w:ascii="Times New Roman" w:hAnsi="Times New Roman" w:eastAsia="宋体"/>
          <w:b/>
          <w:i w:val="0"/>
          <w:sz w:val="24"/>
        </w:rPr>
        <w:t>提供了来自中国多资产市场的独立证据</w:t>
      </w:r>
      <w:r>
        <w:rPr>
          <w:rFonts w:ascii="Times New Roman" w:hAnsi="Times New Roman" w:eastAsia="宋体"/>
          <w:b w:val="0"/>
          <w:i w:val="0"/>
          <w:sz w:val="24"/>
        </w:rPr>
        <w:t>。现有波动率管理研究以美股为中心，中国市场的高波动、高换手、散户主导特征为检验该机制的稳健性提供了理想的实验室。本文样本覆盖2015年股灾、2018年熊市、2020年疫情冲击、2022年股债汇三杀等极端事件，具有较强说服力。</w:t>
      </w:r>
    </w:p>
    <w:p>
      <w:pPr>
        <w:spacing w:before="0" w:after="60" w:line="360" w:lineRule="auto"/>
        <w:ind w:firstLine="480"/>
      </w:pPr>
      <w:r>
        <w:rPr>
          <w:rFonts w:ascii="Times New Roman" w:hAnsi="Times New Roman" w:eastAsia="宋体"/>
          <w:b w:val="0"/>
          <w:i w:val="0"/>
          <w:sz w:val="24"/>
        </w:rPr>
        <w:t>其四，</w:t>
      </w:r>
      <w:r>
        <w:rPr>
          <w:rFonts w:ascii="Times New Roman" w:hAnsi="Times New Roman" w:eastAsia="宋体"/>
          <w:b/>
          <w:i w:val="0"/>
          <w:sz w:val="24"/>
        </w:rPr>
        <w:t>方法论贡献</w:t>
      </w:r>
      <w:r>
        <w:rPr>
          <w:rFonts w:ascii="Times New Roman" w:hAnsi="Times New Roman" w:eastAsia="宋体"/>
          <w:b w:val="0"/>
          <w:i w:val="0"/>
          <w:sz w:val="24"/>
        </w:rPr>
        <w:t>。本文发现 ETF 份额折算会造成严重的价格假跳变（纳斯达克100 ETF 在2022-01-14出现单日−80.4%、中证500 ETF 在2015-04-15出现单日+248.5%）。若不校正，纳斯达克100 ETF 的回测年化将从真实的21.03%被低估至6.68%（偏差14.35个百分点）。本文系统报告了这一数据陷阱及校正方法，对后续使用中国 ETF 数据的研究具有直接参考价值。</w:t>
      </w:r>
    </w:p>
    <w:p>
      <w:pPr>
        <w:spacing w:before="0" w:after="60" w:line="360" w:lineRule="auto"/>
        <w:ind w:firstLine="480"/>
      </w:pPr>
      <w:r>
        <w:rPr>
          <w:rFonts w:ascii="Times New Roman" w:hAnsi="Times New Roman" w:eastAsia="宋体"/>
          <w:b w:val="0"/>
          <w:i w:val="0"/>
          <w:sz w:val="24"/>
        </w:rPr>
        <w:t>其五，</w:t>
      </w:r>
      <w:r>
        <w:rPr>
          <w:rFonts w:ascii="Times New Roman" w:hAnsi="Times New Roman" w:eastAsia="宋体"/>
          <w:b/>
          <w:i w:val="0"/>
          <w:sz w:val="24"/>
        </w:rPr>
        <w:t>首次将两重约束的福利成本量化为可比较的数字</w:t>
      </w:r>
      <w:r>
        <w:rPr>
          <w:rFonts w:ascii="Times New Roman" w:hAnsi="Times New Roman" w:eastAsia="宋体"/>
          <w:b w:val="0"/>
          <w:i w:val="0"/>
          <w:sz w:val="24"/>
        </w:rPr>
        <w:t>。本文在56个（目标波动 × 杠杆上限 × 回撤控制状态）组合上，以效用、收益、风险三种口径度量约束成本，得到一个反直觉的结论：在回撤被严格约束时，杠杆约束的福利成本接近于零（最低至0.00pp），而回撤控制本身的成本达3.794pp，为前者的10.4倍。这一结果为"应当优先放松哪一重约束"的政策讨论提供了直接依据。</w:t>
      </w:r>
    </w:p>
    <w:p>
      <w:pPr>
        <w:spacing w:before="0" w:after="60" w:line="360" w:lineRule="auto"/>
        <w:ind w:firstLine="480"/>
      </w:pPr>
      <w:r>
        <w:rPr>
          <w:rFonts w:ascii="Times New Roman" w:hAnsi="Times New Roman" w:eastAsia="宋体"/>
          <w:b w:val="0"/>
          <w:i w:val="0"/>
          <w:sz w:val="24"/>
        </w:rPr>
        <w:t>本文后续结构：第二部分为文献综述与理论模型；第三部分为研究设计；第四部分报告实证结果；第五部分为机制检验与数值模拟；第六部分为稳健性检验；第七部分为约束成本的量化讨论；第八部分为结论与启示。</w:t>
      </w:r>
    </w:p>
    <w:p>
      <w:pPr>
        <w:spacing w:before="320" w:after="200" w:line="360" w:lineRule="auto"/>
        <w:jc w:val="center"/>
      </w:pPr>
      <w:r>
        <w:rPr>
          <w:rFonts w:ascii="Times New Roman" w:hAnsi="Times New Roman" w:eastAsia="黑体"/>
          <w:b/>
          <w:i w:val="0"/>
          <w:sz w:val="30"/>
        </w:rPr>
        <w:t>二、文献综述与理论模型</w:t>
      </w:r>
    </w:p>
    <w:p>
      <w:pPr>
        <w:spacing w:before="240" w:after="100" w:line="360" w:lineRule="auto"/>
      </w:pPr>
      <w:r>
        <w:rPr>
          <w:rFonts w:ascii="Times New Roman" w:hAnsi="Times New Roman" w:eastAsia="黑体"/>
          <w:b/>
          <w:i w:val="0"/>
          <w:sz w:val="26"/>
        </w:rPr>
        <w:t>2.1 波动率目标：从"免费午餐"到实时实施的争论</w:t>
      </w:r>
    </w:p>
    <w:p>
      <w:pPr>
        <w:spacing w:before="0" w:after="60" w:line="360" w:lineRule="auto"/>
        <w:ind w:firstLine="480"/>
      </w:pPr>
      <w:r>
        <w:rPr>
          <w:rFonts w:ascii="Times New Roman" w:hAnsi="Times New Roman" w:eastAsia="宋体"/>
          <w:b w:val="0"/>
          <w:i w:val="0"/>
          <w:sz w:val="24"/>
        </w:rPr>
        <w:t>波动率管理的理论基础是金融市场的两个典型事实：波动率具有聚集性（clustering），以及已实现波动与未来收益之间存在弱负相关。Fleming et al.（2001, 2003）最早证明波动率择时具有经济价值。Moreira and Muir（2017）将其系统化为"波动率管理组合"（VMP）：以 σ*/σ̂²_{t} 缩放风险资产敞口，发现对市场组合及规模、价值、动量、盈利、投资等因子均能显著提升夏普比率，且收益在扣除交易成本与杠杆约束后依然稳健。</w:t>
      </w:r>
    </w:p>
    <w:p>
      <w:pPr>
        <w:spacing w:before="0" w:after="60" w:line="360" w:lineRule="auto"/>
        <w:ind w:firstLine="480"/>
      </w:pPr>
      <w:r>
        <w:rPr>
          <w:rFonts w:ascii="Times New Roman" w:hAnsi="Times New Roman" w:eastAsia="宋体"/>
          <w:b w:val="0"/>
          <w:i w:val="0"/>
          <w:sz w:val="24"/>
        </w:rPr>
        <w:t>该结论随即引发三方面的质疑。</w:t>
      </w:r>
      <w:r>
        <w:rPr>
          <w:rFonts w:ascii="Times New Roman" w:hAnsi="Times New Roman" w:eastAsia="宋体"/>
          <w:b/>
          <w:i w:val="0"/>
          <w:sz w:val="24"/>
        </w:rPr>
        <w:t>第一是前视偏差</w:t>
      </w:r>
      <w:r>
        <w:rPr>
          <w:rFonts w:ascii="Times New Roman" w:hAnsi="Times New Roman" w:eastAsia="宋体"/>
          <w:b w:val="0"/>
          <w:i w:val="0"/>
          <w:sz w:val="24"/>
        </w:rPr>
        <w:t>。Liu et al.（2019）指出，Moreira-Muir 的方差缩放系数是事后（ex post）构造的，实时校准后策略表现显著恶化。Cederburg et al.（2020）在103个股票策略上验证：实时实施下，72%的策略夏普比率低于未管理组合。</w:t>
      </w:r>
      <w:r>
        <w:rPr>
          <w:rFonts w:ascii="Times New Roman" w:hAnsi="Times New Roman" w:eastAsia="宋体"/>
          <w:b/>
          <w:i w:val="0"/>
          <w:sz w:val="24"/>
        </w:rPr>
        <w:t>第二是套利限制</w:t>
      </w:r>
      <w:r>
        <w:rPr>
          <w:rFonts w:ascii="Times New Roman" w:hAnsi="Times New Roman" w:eastAsia="宋体"/>
          <w:b w:val="0"/>
          <w:i w:val="0"/>
          <w:sz w:val="24"/>
        </w:rPr>
        <w:t>。有研究（</w:t>
      </w:r>
      <w:r>
        <w:rPr>
          <w:rFonts w:ascii="Times New Roman" w:hAnsi="Times New Roman" w:eastAsia="宋体"/>
          <w:b w:val="0"/>
          <w:i w:val="0"/>
          <w:sz w:val="24"/>
        </w:rPr>
        <w:t>*JFE*</w:t>
      </w:r>
      <w:r>
        <w:rPr>
          <w:rFonts w:ascii="Times New Roman" w:hAnsi="Times New Roman" w:eastAsia="宋体"/>
          <w:b w:val="0"/>
          <w:i w:val="0"/>
          <w:sz w:val="24"/>
        </w:rPr>
        <w:t>, 2021）从交易成本、套利风险、卖空约束角度检验，发现除市场组合外，多数因子的 VMP 在扣除成本后alpha归零。</w:t>
      </w:r>
      <w:r>
        <w:rPr>
          <w:rFonts w:ascii="Times New Roman" w:hAnsi="Times New Roman" w:eastAsia="宋体"/>
          <w:b/>
          <w:i w:val="0"/>
          <w:sz w:val="24"/>
        </w:rPr>
        <w:t>第三是实施效果</w:t>
      </w:r>
      <w:r>
        <w:rPr>
          <w:rFonts w:ascii="Times New Roman" w:hAnsi="Times New Roman" w:eastAsia="宋体"/>
          <w:b w:val="0"/>
          <w:i w:val="0"/>
          <w:sz w:val="24"/>
        </w:rPr>
        <w:t>。Bongaerts et al.（2020）发现传统波动率目标会显著超调波动目标，反而扩大最大回撤与尾部风险，并带来超过200%/年的换手率与时变杠杆。</w:t>
      </w:r>
    </w:p>
    <w:p>
      <w:pPr>
        <w:spacing w:before="0" w:after="60" w:line="360" w:lineRule="auto"/>
        <w:ind w:firstLine="480"/>
      </w:pPr>
      <w:r>
        <w:rPr>
          <w:rFonts w:ascii="Times New Roman" w:hAnsi="Times New Roman" w:eastAsia="宋体"/>
          <w:b w:val="0"/>
          <w:i w:val="0"/>
          <w:sz w:val="24"/>
        </w:rPr>
        <w:t>后续的改进方向包括：下行波动率管理（Wang and Yan, 2021；发现优于总波动率管理）、条件波动率目标（Bongaerts et al., 2020；按极端波动状态调整敞口）、以及实时改进的缩放方案（Xu, 2024）。</w:t>
      </w:r>
    </w:p>
    <w:p>
      <w:pPr>
        <w:spacing w:before="0" w:after="60" w:line="360" w:lineRule="auto"/>
        <w:ind w:firstLine="480"/>
      </w:pPr>
      <w:r>
        <w:rPr>
          <w:rFonts w:ascii="Times New Roman" w:hAnsi="Times New Roman" w:eastAsia="宋体"/>
          <w:b/>
          <w:i w:val="0"/>
          <w:sz w:val="24"/>
        </w:rPr>
        <w:t>本文的定位</w:t>
      </w:r>
      <w:r>
        <w:rPr>
          <w:rFonts w:ascii="Times New Roman" w:hAnsi="Times New Roman" w:eastAsia="宋体"/>
          <w:b w:val="0"/>
          <w:i w:val="0"/>
          <w:sz w:val="24"/>
        </w:rPr>
        <w:t>：上述全部研究均以可自由加杠杆为前提。本文考察 Ē=1（无杠杆）这一在零售投资者与"固收+"产品中极其常见、但被学术界忽视的约束。</w:t>
      </w:r>
    </w:p>
    <w:p>
      <w:pPr>
        <w:spacing w:before="240" w:after="100" w:line="360" w:lineRule="auto"/>
      </w:pPr>
      <w:r>
        <w:rPr>
          <w:rFonts w:ascii="Times New Roman" w:hAnsi="Times New Roman" w:eastAsia="黑体"/>
          <w:b/>
          <w:i w:val="0"/>
          <w:sz w:val="26"/>
        </w:rPr>
        <w:t>2.2 回撤控制与组合保险：whipsaw 成本</w:t>
      </w:r>
    </w:p>
    <w:p>
      <w:pPr>
        <w:spacing w:before="0" w:after="60" w:line="360" w:lineRule="auto"/>
        <w:ind w:firstLine="480"/>
      </w:pPr>
      <w:r>
        <w:rPr>
          <w:rFonts w:ascii="Times New Roman" w:hAnsi="Times New Roman" w:eastAsia="宋体"/>
          <w:b w:val="0"/>
          <w:i w:val="0"/>
          <w:sz w:val="24"/>
        </w:rPr>
        <w:t>组合保险的经典形式是 CPPI（Black and Jones, 1987；Perold and Sharpe, 1988）：风险资产敞口 = 乘数 ×（组合价值 − 保本底线）。其 payoff 近似看涨期权，但在</w:t>
      </w:r>
      <w:r>
        <w:rPr>
          <w:rFonts w:ascii="Times New Roman" w:hAnsi="Times New Roman" w:eastAsia="宋体"/>
          <w:b/>
          <w:i w:val="0"/>
          <w:sz w:val="24"/>
        </w:rPr>
        <w:t>均值回复的震荡市中系统性跑输买入持有</w:t>
      </w:r>
      <w:r>
        <w:rPr>
          <w:rFonts w:ascii="Times New Roman" w:hAnsi="Times New Roman" w:eastAsia="宋体"/>
          <w:b w:val="0"/>
          <w:i w:val="0"/>
          <w:sz w:val="24"/>
        </w:rPr>
        <w:t>，因为顺周期的再平衡产生"高买低卖"（whipsaw）。1987年股灾暴露了 CPPI 的缺口风险（gap risk）：单日暴跌可在再平衡前击穿底线。</w:t>
      </w:r>
    </w:p>
    <w:p>
      <w:pPr>
        <w:spacing w:before="0" w:after="60" w:line="360" w:lineRule="auto"/>
        <w:ind w:firstLine="480"/>
      </w:pPr>
      <w:r>
        <w:rPr>
          <w:rFonts w:ascii="Times New Roman" w:hAnsi="Times New Roman" w:eastAsia="宋体"/>
          <w:b w:val="0"/>
          <w:i w:val="0"/>
          <w:sz w:val="24"/>
        </w:rPr>
        <w:t>回撤控制是组合保险的变体，其保护对象是</w:t>
      </w:r>
      <w:r>
        <w:rPr>
          <w:rFonts w:ascii="Times New Roman" w:hAnsi="Times New Roman" w:eastAsia="宋体"/>
          <w:b/>
          <w:i w:val="0"/>
          <w:sz w:val="24"/>
        </w:rPr>
        <w:t>移动高水位线</w:t>
      </w:r>
      <w:r>
        <w:rPr>
          <w:rFonts w:ascii="Times New Roman" w:hAnsi="Times New Roman" w:eastAsia="宋体"/>
          <w:b w:val="0"/>
          <w:i w:val="0"/>
          <w:sz w:val="24"/>
        </w:rPr>
        <w:t>而非固定底线。文献与实务共识是：回撤控制以牺牲部分平均收益为代价缩小回撤分母，因此应当用卡玛比率而非夏普比率评价；它在</w:t>
      </w:r>
      <w:r>
        <w:rPr>
          <w:rFonts w:ascii="Times New Roman" w:hAnsi="Times New Roman" w:eastAsia="宋体"/>
          <w:b/>
          <w:i w:val="0"/>
          <w:sz w:val="24"/>
        </w:rPr>
        <w:t>缓慢的熊市中表现优异，在 whipsaw 中伤害最大</w:t>
      </w:r>
      <w:r>
        <w:rPr>
          <w:rFonts w:ascii="Times New Roman" w:hAnsi="Times New Roman" w:eastAsia="宋体"/>
          <w:b w:val="0"/>
          <w:i w:val="0"/>
          <w:sz w:val="24"/>
        </w:rPr>
        <w:t>；且由于高水位线只升不降，策略具有不对称性——每次创新高都抬高了必须守住的门槛。</w:t>
      </w:r>
    </w:p>
    <w:p>
      <w:pPr>
        <w:spacing w:before="0" w:after="60" w:line="360" w:lineRule="auto"/>
        <w:ind w:firstLine="480"/>
      </w:pPr>
      <w:r>
        <w:rPr>
          <w:rFonts w:ascii="Times New Roman" w:hAnsi="Times New Roman" w:eastAsia="宋体"/>
          <w:b w:val="0"/>
          <w:i w:val="0"/>
          <w:sz w:val="24"/>
        </w:rPr>
        <w:t>本文关注的正是这一"whipsaw 成本"如何与波动率目标相互作用。</w:t>
      </w:r>
    </w:p>
    <w:p>
      <w:pPr>
        <w:spacing w:before="240" w:after="100" w:line="360" w:lineRule="auto"/>
      </w:pPr>
      <w:r>
        <w:rPr>
          <w:rFonts w:ascii="Times New Roman" w:hAnsi="Times New Roman" w:eastAsia="黑体"/>
          <w:b/>
          <w:i w:val="0"/>
          <w:sz w:val="26"/>
        </w:rPr>
        <w:t>2.3 中国市场的趋势与动量：本土证据与本文的信号定位</w:t>
      </w:r>
    </w:p>
    <w:p>
      <w:pPr>
        <w:spacing w:before="0" w:after="60" w:line="360" w:lineRule="auto"/>
        <w:ind w:firstLine="480"/>
      </w:pPr>
      <w:r>
        <w:rPr>
          <w:rFonts w:ascii="Times New Roman" w:hAnsi="Times New Roman" w:eastAsia="宋体"/>
          <w:b w:val="0"/>
          <w:i w:val="0"/>
          <w:sz w:val="24"/>
        </w:rPr>
        <w:t>本文战术层使用两类信号：资产价格相对自身长期均线的位置（趋势状态），以及价格在其历史区间中的分位。这两类信号在中国市场是否有效，本身即是一个长期存在争议的本土文献议题——它直接决定本文所研究的风险 overlay 究竟是在"管理有价值的 alpha"，还是在"管理一串噪声"。因此在进入理论模型之前，有必要先厘清本土证据给出的边界。</w:t>
      </w:r>
    </w:p>
    <w:p>
      <w:pPr>
        <w:spacing w:before="0" w:after="60" w:line="360" w:lineRule="auto"/>
        <w:ind w:firstLine="480"/>
      </w:pPr>
      <w:r>
        <w:rPr>
          <w:rFonts w:ascii="Times New Roman" w:hAnsi="Times New Roman" w:eastAsia="宋体"/>
          <w:b/>
          <w:i w:val="0"/>
          <w:sz w:val="24"/>
        </w:rPr>
        <w:t>横截面动量在中国基本不成立。</w:t>
      </w:r>
      <w:r>
        <w:rPr>
          <w:rFonts w:ascii="Times New Roman" w:hAnsi="Times New Roman" w:eastAsia="宋体"/>
          <w:b w:val="0"/>
          <w:i w:val="0"/>
          <w:sz w:val="24"/>
        </w:rPr>
        <w:t xml:space="preserve"> 王永宏和赵学军（2001）以深沪两市1993年以前上市的全部A股为样本，在1、3、6、9、12个月的形成期与持有期组合下检验，发现赢家与输家组合均未表现出收益惯性，反而呈现一定程度的反转——反转策略显著而惯性策略不显著。刘博和皮天雷（2007）基于1994—2005年全样本得到一致结论：中国A股市场基本不存在惯性现象，而存在显著的反转现象，且风险补偿理论对这一结果具有相当的解释力。潘莉和徐建国（2011）进一步在个股回报率层面讨论了惯性与反转的共存条件。鲁臻和邹恒甫（2007）在 Hong and Stein（1999）模型基础上引入"政策市"特征，理论预测并经实证检验表明：中国股市的反转效应强于惯性效应；除中期惯性与长期反转外，还存在一个超短期的惯性与短期的反转；且小公司股票、高成交量股票的惯性更弱、更易发生反转。</w:t>
      </w:r>
    </w:p>
    <w:p>
      <w:pPr>
        <w:spacing w:before="0" w:after="60" w:line="360" w:lineRule="auto"/>
        <w:ind w:firstLine="480"/>
      </w:pPr>
      <w:r>
        <w:rPr>
          <w:rFonts w:ascii="Times New Roman" w:hAnsi="Times New Roman" w:eastAsia="宋体"/>
          <w:b/>
          <w:i w:val="0"/>
          <w:sz w:val="24"/>
        </w:rPr>
        <w:t>动量并非完全不存在，而是频率错配。</w:t>
      </w:r>
      <w:r>
        <w:rPr>
          <w:rFonts w:ascii="Times New Roman" w:hAnsi="Times New Roman" w:eastAsia="宋体"/>
          <w:b w:val="0"/>
          <w:i w:val="0"/>
          <w:sz w:val="24"/>
        </w:rPr>
        <w:t xml:space="preserve"> 迄今最精细的证据来自高秋明等（2014）：利用1994—2011年A股数据，他们发现</w:t>
      </w:r>
      <w:r>
        <w:rPr>
          <w:rFonts w:ascii="Times New Roman" w:hAnsi="Times New Roman" w:eastAsia="宋体"/>
          <w:b/>
          <w:i w:val="0"/>
          <w:sz w:val="24"/>
        </w:rPr>
        <w:t>月度频率上不存在显著的动量效应</w:t>
      </w:r>
      <w:r>
        <w:rPr>
          <w:rFonts w:ascii="Times New Roman" w:hAnsi="Times New Roman" w:eastAsia="宋体"/>
          <w:b w:val="0"/>
          <w:i w:val="0"/>
          <w:sz w:val="24"/>
        </w:rPr>
        <w:t>，但当形成期为2—4周、持有期为1—3周时，存在稳定的动量收益；规模、账面市值比和行业因素可解释约50%的动量收益；且动量效应在赢家组合与输家组合中具有不同的形成机理。这一结论为长期争议提供了调和性解释：不是中国市场没有趋势，而是</w:t>
      </w:r>
      <w:r>
        <w:rPr>
          <w:rFonts w:ascii="Times New Roman" w:hAnsi="Times New Roman" w:eastAsia="宋体"/>
          <w:b/>
          <w:i w:val="0"/>
          <w:sz w:val="24"/>
        </w:rPr>
        <w:t>月度及更低频的采样把趋势磨平了</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为什么个股动量在中国衰减？三条本土解释。</w:t>
      </w:r>
      <w:r>
        <w:rPr>
          <w:rFonts w:ascii="Times New Roman" w:hAnsi="Times New Roman" w:eastAsia="宋体"/>
          <w:b w:val="0"/>
          <w:i w:val="0"/>
          <w:sz w:val="24"/>
        </w:rPr>
        <w:t xml:space="preserve"> 其一是交易制度：涨跌停与T+1使价格无法在单日内充分调整，动量信号被"锁"在涨跌停板上、次日集中释放，买入成本被动抬高。其二是投资者结构：赵学军和王永宏（2001）基于某大型营业部近万个投资者账户发现，中国投资者"售盈持亏"的处置效应倾向</w:t>
      </w:r>
      <w:r>
        <w:rPr>
          <w:rFonts w:ascii="Times New Roman" w:hAnsi="Times New Roman" w:eastAsia="宋体"/>
          <w:b/>
          <w:i w:val="0"/>
          <w:sz w:val="24"/>
        </w:rPr>
        <w:t>比国外投资者更为严重</w:t>
      </w:r>
      <w:r>
        <w:rPr>
          <w:rFonts w:ascii="Times New Roman" w:hAnsi="Times New Roman" w:eastAsia="宋体"/>
          <w:b w:val="0"/>
          <w:i w:val="0"/>
          <w:sz w:val="24"/>
        </w:rPr>
        <w:t>；陆蓉等（2022）给出了更新的行为画像。处置效应的直接后果是</w:t>
      </w:r>
      <w:r>
        <w:rPr>
          <w:rFonts w:ascii="Times New Roman" w:hAnsi="Times New Roman" w:eastAsia="宋体"/>
          <w:b/>
          <w:i w:val="0"/>
          <w:sz w:val="24"/>
        </w:rPr>
        <w:t>盈利头寸被过早了结、亏损头寸被长期持有</w:t>
      </w:r>
      <w:r>
        <w:rPr>
          <w:rFonts w:ascii="Times New Roman" w:hAnsi="Times New Roman" w:eastAsia="宋体"/>
          <w:b w:val="0"/>
          <w:i w:val="0"/>
          <w:sz w:val="24"/>
        </w:rPr>
        <w:t>——前者不断打断上涨趋势，后者拖延下跌趋势，从而在个股层面同时削弱动量、强化反转。这与鲁臻和邹恒甫（2007）"反转强于惯性"的发现恰成微观基础与宏观表现的一对。其三是高换手与短持有期：噪声交易占比高，低频采样下信号已被交易噪声淹没。</w:t>
      </w:r>
    </w:p>
    <w:p>
      <w:pPr>
        <w:spacing w:before="0" w:after="60" w:line="360" w:lineRule="auto"/>
        <w:ind w:firstLine="480"/>
      </w:pPr>
      <w:r>
        <w:rPr>
          <w:rFonts w:ascii="Times New Roman" w:hAnsi="Times New Roman" w:eastAsia="宋体"/>
          <w:b/>
          <w:i w:val="0"/>
          <w:sz w:val="24"/>
        </w:rPr>
        <w:t>对本文的三点含义。</w:t>
      </w:r>
    </w:p>
    <w:p>
      <w:pPr>
        <w:spacing w:before="0" w:after="60" w:line="360" w:lineRule="auto"/>
        <w:ind w:firstLine="480"/>
      </w:pPr>
      <w:r>
        <w:rPr>
          <w:rFonts w:ascii="Times New Roman" w:hAnsi="Times New Roman" w:eastAsia="宋体"/>
          <w:b w:val="0"/>
          <w:i w:val="0"/>
          <w:sz w:val="24"/>
        </w:rPr>
        <w:t>第一，</w:t>
      </w:r>
      <w:r>
        <w:rPr>
          <w:rFonts w:ascii="Times New Roman" w:hAnsi="Times New Roman" w:eastAsia="宋体"/>
          <w:b/>
          <w:i w:val="0"/>
          <w:sz w:val="24"/>
        </w:rPr>
        <w:t>本文不使用横截面动量</w:t>
      </w:r>
      <w:r>
        <w:rPr>
          <w:rFonts w:ascii="Times New Roman" w:hAnsi="Times New Roman" w:eastAsia="宋体"/>
          <w:b w:val="0"/>
          <w:i w:val="0"/>
          <w:sz w:val="24"/>
        </w:rPr>
        <w:t>。既然月度横截面动量在中国已被反复证明不显著，本文战术层只采用时间序列上的趋势状态与价格分位，不使用个股或资产的横截面排序。这是对本土证据的直接回应，而非对海外文献的简单移植。</w:t>
      </w:r>
    </w:p>
    <w:p>
      <w:pPr>
        <w:spacing w:before="0" w:after="60" w:line="360" w:lineRule="auto"/>
        <w:ind w:firstLine="480"/>
      </w:pPr>
      <w:r>
        <w:rPr>
          <w:rFonts w:ascii="Times New Roman" w:hAnsi="Times New Roman" w:eastAsia="宋体"/>
          <w:b w:val="0"/>
          <w:i w:val="0"/>
          <w:sz w:val="24"/>
        </w:rPr>
        <w:t>第二，</w:t>
      </w:r>
      <w:r>
        <w:rPr>
          <w:rFonts w:ascii="Times New Roman" w:hAnsi="Times New Roman" w:eastAsia="宋体"/>
          <w:b/>
          <w:i w:val="0"/>
          <w:sz w:val="24"/>
        </w:rPr>
        <w:t>趋势信号在中国是弱信号，这恰恰放大了本文所研究的问题</w:t>
      </w:r>
      <w:r>
        <w:rPr>
          <w:rFonts w:ascii="Times New Roman" w:hAnsi="Times New Roman" w:eastAsia="宋体"/>
          <w:b w:val="0"/>
          <w:i w:val="0"/>
          <w:sz w:val="24"/>
        </w:rPr>
        <w:t>。当 alpha 本身微薄时，风险 overlay 对敞口的系统性削减就更为致命。第5.1节显示，敞口实现率随目标波动上升从0.831降至0.475——对于一个夏普比率本就不高的信号，</w:t>
      </w:r>
      <w:r>
        <w:rPr>
          <w:rFonts w:ascii="Times New Roman" w:hAnsi="Times New Roman" w:eastAsia="宋体"/>
          <w:b/>
          <w:i w:val="0"/>
          <w:sz w:val="24"/>
        </w:rPr>
        <w:t>按比例削减敞口等于按同一比例削减收益来源，却只能换来次比例的波动下降</w:t>
      </w:r>
      <w:r>
        <w:rPr>
          <w:rFonts w:ascii="Times New Roman" w:hAnsi="Times New Roman" w:eastAsia="宋体"/>
          <w:b w:val="0"/>
          <w:i w:val="0"/>
          <w:sz w:val="24"/>
        </w:rPr>
        <w:t>。弱信号环境因此是"双重去杠杆陷阱"危害最大的环境；而中国恰是典型的弱信号市场。</w:t>
      </w:r>
    </w:p>
    <w:p>
      <w:pPr>
        <w:spacing w:before="0" w:after="60" w:line="360" w:lineRule="auto"/>
        <w:ind w:firstLine="480"/>
      </w:pPr>
      <w:r>
        <w:rPr>
          <w:rFonts w:ascii="Times New Roman" w:hAnsi="Times New Roman" w:eastAsia="宋体"/>
          <w:b w:val="0"/>
          <w:i w:val="0"/>
          <w:sz w:val="24"/>
        </w:rPr>
        <w:t>第三，</w:t>
      </w:r>
      <w:r>
        <w:rPr>
          <w:rFonts w:ascii="Times New Roman" w:hAnsi="Times New Roman" w:eastAsia="宋体"/>
          <w:b/>
          <w:i w:val="0"/>
          <w:sz w:val="24"/>
        </w:rPr>
        <w:t>处置效应与回撤控制之间存在方向相反的隐性叠加，值得警惕</w:t>
      </w:r>
      <w:r>
        <w:rPr>
          <w:rFonts w:ascii="Times New Roman" w:hAnsi="Times New Roman" w:eastAsia="宋体"/>
          <w:b w:val="0"/>
          <w:i w:val="0"/>
          <w:sz w:val="24"/>
        </w:rPr>
        <w:t>。散户"售盈持亏"的自主行为本身构成一种非正式的、顺周期的去杠杆：上涨时减仓（卖出盈利），下跌时维持（持有亏损）。而本文研究的规则型回撤控制则是在下跌时强制减仓。二者叠加意味着，受 Ē=1 约束且启用回撤控制的管理人，在上涨与下跌两端都被削减敞口，形成"两头受挤"。这为"双重去杠杆陷阱"提供了行为金融层面的微观注脚，也提示本土投资者结构可能放大而非缓解本文识别的机制。</w:t>
      </w:r>
    </w:p>
    <w:p>
      <w:pPr>
        <w:spacing w:before="0" w:after="60" w:line="360" w:lineRule="auto"/>
        <w:ind w:firstLine="480"/>
      </w:pPr>
      <w:r>
        <w:rPr>
          <w:rFonts w:ascii="Times New Roman" w:hAnsi="Times New Roman" w:eastAsia="宋体"/>
          <w:b/>
          <w:i w:val="0"/>
          <w:sz w:val="24"/>
        </w:rPr>
        <w:t>一个必须说明的边界。</w:t>
      </w:r>
      <w:r>
        <w:rPr>
          <w:rFonts w:ascii="Times New Roman" w:hAnsi="Times New Roman" w:eastAsia="宋体"/>
          <w:b w:val="0"/>
          <w:i w:val="0"/>
          <w:sz w:val="24"/>
        </w:rPr>
        <w:t xml:space="preserve"> 上述本土证据主要针对</w:t>
      </w:r>
      <w:r>
        <w:rPr>
          <w:rFonts w:ascii="Times New Roman" w:hAnsi="Times New Roman" w:eastAsia="宋体"/>
          <w:b/>
          <w:i w:val="0"/>
          <w:sz w:val="24"/>
        </w:rPr>
        <w:t>个股横截面</w:t>
      </w:r>
      <w:r>
        <w:rPr>
          <w:rFonts w:ascii="Times New Roman" w:hAnsi="Times New Roman" w:eastAsia="宋体"/>
          <w:b w:val="0"/>
          <w:i w:val="0"/>
          <w:sz w:val="24"/>
        </w:rPr>
        <w:t>；本文资产池为跨市场指数与ETF（A股红利、沪深300、中证500、港股、纳斯达克100、黄金），其时间序列趋势主要由宏观周期、资金面与跨市场估值差异驱动，与个股层面的处置效应机制并不完全相同。因此本土动量证据支持本文"审慎设定战术信号"的立场，但本文的核心结论——两层风控的负交互——</w:t>
      </w:r>
      <w:r>
        <w:rPr>
          <w:rFonts w:ascii="Times New Roman" w:hAnsi="Times New Roman" w:eastAsia="宋体"/>
          <w:b/>
          <w:i w:val="0"/>
          <w:sz w:val="24"/>
        </w:rPr>
        <w:t>并不依赖战术信号的有效性</w:t>
      </w:r>
      <w:r>
        <w:rPr>
          <w:rFonts w:ascii="Times New Roman" w:hAnsi="Times New Roman" w:eastAsia="宋体"/>
          <w:b w:val="0"/>
          <w:i w:val="0"/>
          <w:sz w:val="24"/>
        </w:rPr>
        <w:t>：第6.6节的检验显示，即使完全关闭战术信号、仅保留纯风险 overlay，前沿分岔依然存在。</w:t>
      </w:r>
    </w:p>
    <w:p>
      <w:pPr>
        <w:spacing w:before="240" w:after="100" w:line="360" w:lineRule="auto"/>
      </w:pPr>
      <w:r>
        <w:rPr>
          <w:rFonts w:ascii="Times New Roman" w:hAnsi="Times New Roman" w:eastAsia="黑体"/>
          <w:b/>
          <w:i w:val="0"/>
          <w:sz w:val="26"/>
        </w:rPr>
        <w:t>2.4 理论模型</w:t>
      </w:r>
    </w:p>
    <w:p>
      <w:pPr>
        <w:spacing w:before="180" w:after="80" w:line="360" w:lineRule="auto"/>
      </w:pPr>
      <w:r>
        <w:rPr>
          <w:rFonts w:ascii="Times New Roman" w:hAnsi="Times New Roman" w:eastAsia="黑体"/>
          <w:b/>
          <w:i w:val="0"/>
          <w:sz w:val="24"/>
        </w:rPr>
        <w:t>2.4.1 基本设定</w:t>
      </w:r>
    </w:p>
    <w:p>
      <w:pPr>
        <w:spacing w:before="0" w:after="60" w:line="360" w:lineRule="auto"/>
        <w:ind w:firstLine="480"/>
      </w:pPr>
      <w:r>
        <w:rPr>
          <w:rFonts w:ascii="Times New Roman" w:hAnsi="Times New Roman" w:eastAsia="宋体"/>
          <w:b w:val="0"/>
          <w:i w:val="0"/>
          <w:sz w:val="24"/>
        </w:rPr>
        <w:t>考虑一个离散时间框架。风险资产在 t 期的超额收益为：</w:t>
      </w:r>
    </w:p>
    <w:p>
      <w:pPr>
        <w:spacing w:before="160" w:after="160" w:line="240" w:lineRule="auto"/>
        <w:jc w:val="center"/>
      </w:pPr>
      <m:oMathPara>
        <m:box>
          <m:e>
            <m:sSub>
              <m:e>
                <m:r>
                  <m:rPr>
                    <m:sty m:val="i"/>
                  </m:rPr>
                  <m:t>r</m:t>
                </m:r>
              </m:e>
              <m:sub>
                <m:box>
                  <m:e>
                    <m:r>
                      <m:rPr>
                        <m:sty m:val="i"/>
                      </m:rPr>
                      <m:t>t</m:t>
                    </m:r>
                    <m:r>
                      <m:rPr>
                        <m:sty m:val="p"/>
                      </m:rPr>
                      <m:t>+</m:t>
                    </m:r>
                    <m:r>
                      <m:rPr>
                        <m:sty m:val="p"/>
                      </m:rPr>
                      <m:t>1</m:t>
                    </m:r>
                  </m:e>
                </m:box>
              </m:sub>
            </m:sSub>
            <m:r>
              <m:rPr>
                <m:sty m:val="p"/>
              </m:rPr>
              <m:t>=</m:t>
            </m:r>
            <m:sSub>
              <m:e>
                <m:r>
                  <m:rPr>
                    <m:sty m:val="i"/>
                  </m:rPr>
                  <m:t>μ</m:t>
                </m:r>
              </m:e>
              <m:sub>
                <m:r>
                  <m:rPr>
                    <m:sty m:val="i"/>
                  </m:rPr>
                  <m:t>t</m:t>
                </m:r>
              </m:sub>
            </m:sSub>
            <m:r>
              <m:rPr>
                <m:sty m:val="p"/>
              </m:rPr>
              <m:t>·</m:t>
            </m:r>
            <m:r>
              <m:rPr>
                <m:sty m:val="i"/>
              </m:rPr>
              <m:t>Δ</m:t>
            </m:r>
            <m:r>
              <m:rPr>
                <m:sty m:val="i"/>
              </m:rPr>
              <m:t>t</m:t>
            </m:r>
            <m:r>
              <m:rPr>
                <m:sty m:val="p"/>
              </m:rPr>
              <m:t>+</m:t>
            </m:r>
            <m:sSub>
              <m:e>
                <m:r>
                  <m:rPr>
                    <m:sty m:val="i"/>
                  </m:rPr>
                  <m:t>σ</m:t>
                </m:r>
              </m:e>
              <m:sub>
                <m:r>
                  <m:rPr>
                    <m:sty m:val="i"/>
                  </m:rPr>
                  <m:t>t</m:t>
                </m:r>
              </m:sub>
            </m:sSub>
            <m:rad>
              <m:e>
                <m:box>
                  <m:e>
                    <m:box>
                      <m:e>
                        <m:r>
                          <m:rPr>
                            <m:sty m:val="i"/>
                          </m:rPr>
                          <m:t>Δ</m:t>
                        </m:r>
                        <m:r>
                          <m:rPr>
                            <m:sty m:val="i"/>
                          </m:rPr>
                          <m:t>t</m:t>
                        </m:r>
                      </m:e>
                    </m:box>
                  </m:e>
                </m:box>
              </m:e>
            </m:rad>
            <m:r>
              <m:rPr>
                <m:sty m:val="p"/>
              </m:rPr>
              <m:t>·</m:t>
            </m:r>
            <m:sSub>
              <m:e>
                <m:r>
                  <m:rPr>
                    <m:sty m:val="i"/>
                  </m:rPr>
                  <m:t>ε</m:t>
                </m:r>
              </m:e>
              <m:sub>
                <m:box>
                  <m:e>
                    <m:r>
                      <m:rPr>
                        <m:sty m:val="i"/>
                      </m:rPr>
                      <m:t>t</m:t>
                    </m:r>
                    <m:r>
                      <m:rPr>
                        <m:sty m:val="p"/>
                      </m:rPr>
                      <m:t>+</m:t>
                    </m:r>
                    <m:r>
                      <m:rPr>
                        <m:sty m:val="p"/>
                      </m:rPr>
                      <m:t>1</m:t>
                    </m:r>
                  </m:e>
                </m:box>
              </m:sub>
            </m:sSub>
            <m:r>
              <m:rPr>
                <m:sty m:val="p"/>
              </m:rPr>
              <m:t>,</m:t>
            </m:r>
            <m:r>
              <m:t/>
            </m:r>
            <m:sSub>
              <m:e>
                <m:r>
                  <m:rPr>
                    <m:sty m:val="i"/>
                  </m:rPr>
                  <m:t>ε</m:t>
                </m:r>
              </m:e>
              <m:sub>
                <m:box>
                  <m:e>
                    <m:r>
                      <m:rPr>
                        <m:sty m:val="i"/>
                      </m:rPr>
                      <m:t>t</m:t>
                    </m:r>
                    <m:r>
                      <m:rPr>
                        <m:sty m:val="p"/>
                      </m:rPr>
                      <m:t>+</m:t>
                    </m:r>
                    <m:r>
                      <m:rPr>
                        <m:sty m:val="p"/>
                      </m:rPr>
                      <m:t>1</m:t>
                    </m:r>
                  </m:e>
                </m:box>
              </m:sub>
            </m:sSub>
            <m:r>
              <m:rPr>
                <m:sty m:val="i"/>
              </m:rPr>
              <m:t>~</m:t>
            </m:r>
            <m:r>
              <m:rPr>
                <m:sty m:val="i"/>
              </m:rPr>
              <m:t>i</m:t>
            </m:r>
            <m:r>
              <m:rPr>
                <m:sty m:val="p"/>
              </m:rPr>
              <m:t>.</m:t>
            </m:r>
            <m:r>
              <m:rPr>
                <m:sty m:val="i"/>
              </m:rPr>
              <m:t>i</m:t>
            </m:r>
            <m:r>
              <m:rPr>
                <m:sty m:val="p"/>
              </m:rPr>
              <m:t>.</m:t>
            </m:r>
            <m:r>
              <m:rPr>
                <m:sty m:val="i"/>
              </m:rPr>
              <m:t>d</m:t>
            </m:r>
            <m:r>
              <m:rPr>
                <m:sty m:val="p"/>
              </m:rPr>
              <m:t>.</m:t>
            </m:r>
            <m:r>
              <m:t/>
            </m:r>
            <m:r>
              <m:rPr>
                <m:sty m:val="i"/>
              </m:rPr>
              <m:t>N</m:t>
            </m:r>
            <m:r>
              <m:rPr>
                <m:sty m:val="p"/>
              </m:rPr>
              <m:t>(</m:t>
            </m:r>
            <m:r>
              <m:rPr>
                <m:sty m:val="p"/>
              </m:rPr>
              <m:t>0</m:t>
            </m:r>
            <m:r>
              <m:rPr>
                <m:sty m:val="p"/>
              </m:rPr>
              <m:t>,</m:t>
            </m:r>
            <m:r>
              <m:rPr>
                <m:sty m:val="p"/>
              </m:rPr>
              <m:t>1</m:t>
            </m:r>
            <m:r>
              <m:rPr>
                <m:sty m:val="p"/>
              </m:rPr>
              <m:t>)</m:t>
            </m:r>
          </m:e>
        </m:box>
      </m:oMathPara>
    </w:p>
    <w:p>
      <w:pPr>
        <w:spacing w:before="0" w:after="60" w:line="360" w:lineRule="auto"/>
        <w:ind w:firstLine="480"/>
      </w:pPr>
      <w:r>
        <w:rPr>
          <w:rFonts w:ascii="Times New Roman" w:hAnsi="Times New Roman" w:eastAsia="宋体"/>
          <w:b w:val="0"/>
          <w:i w:val="0"/>
          <w:sz w:val="24"/>
        </w:rPr>
        <w:t>其中条件波动率 σ_t 具有聚集性（本文以两状态马尔可夫链刻画），条件期望收益 μ_t 与 σ_t 正相关但夏普比率随 σ_t 上升而下降：</w:t>
      </w:r>
    </w:p>
    <w:p>
      <w:pPr>
        <w:spacing w:before="160" w:after="160" w:line="240" w:lineRule="auto"/>
        <w:jc w:val="center"/>
      </w:pPr>
      <m:oMathPara>
        <m:box>
          <m:e>
            <m:r>
              <m:rPr>
                <m:sty m:val="i"/>
              </m:rPr>
              <m:t>S</m:t>
            </m:r>
            <m:sSub>
              <m:e>
                <m:r>
                  <m:rPr>
                    <m:sty m:val="i"/>
                  </m:rPr>
                  <m:t>R</m:t>
                </m:r>
              </m:e>
              <m:sub>
                <m:r>
                  <m:rPr>
                    <m:sty m:val="i"/>
                  </m:rPr>
                  <m:t>t</m:t>
                </m:r>
              </m:sub>
            </m:sSub>
            <m:r>
              <m:rPr>
                <m:sty m:val="p"/>
              </m:rPr>
              <m:t>=</m:t>
            </m:r>
            <m:limUpp>
              <m:e>
                <m:box>
                  <m:e>
                    <m:r>
                      <m:rPr>
                        <m:sty m:val="i"/>
                      </m:rPr>
                      <m:t>S</m:t>
                    </m:r>
                    <m:r>
                      <m:rPr>
                        <m:sty m:val="i"/>
                      </m:rPr>
                      <m:t>R</m:t>
                    </m:r>
                  </m:e>
                </m:box>
              </m:e>
              <m:lim>
                <m:r>
                  <m:rPr>
                    <m:sty m:val="p"/>
                  </m:rPr>
                  <m:t>―</m:t>
                </m:r>
              </m:lim>
            </m:limUpp>
            <m:r>
              <m:rPr>
                <m:sty m:val="p"/>
              </m:rPr>
              <m:t>−</m:t>
            </m:r>
            <m:r>
              <m:rPr>
                <m:sty m:val="i"/>
              </m:rPr>
              <m:t>β</m:t>
            </m:r>
            <m:r>
              <m:rPr>
                <m:sty m:val="p"/>
              </m:rPr>
              <m:t>(</m:t>
            </m:r>
            <m:sSub>
              <m:e>
                <m:r>
                  <m:rPr>
                    <m:sty m:val="i"/>
                  </m:rPr>
                  <m:t>σ</m:t>
                </m:r>
              </m:e>
              <m:sub>
                <m:r>
                  <m:rPr>
                    <m:sty m:val="i"/>
                  </m:rPr>
                  <m:t>t</m:t>
                </m:r>
              </m:sub>
            </m:sSub>
            <m:r>
              <m:rPr>
                <m:sty m:val="p"/>
              </m:rPr>
              <m:t>−</m:t>
            </m:r>
            <m:groupChr>
              <m:groupChrPr>
                <m:chr m:val="¯"/>
                <m:pos m:val="top"/>
              </m:groupChrPr>
              <m:e>
                <m:box>
                  <m:e>
                    <m:r>
                      <m:rPr>
                        <m:sty m:val="i"/>
                      </m:rPr>
                      <m:t>σ</m:t>
                    </m:r>
                  </m:e>
                </m:box>
              </m:e>
            </m:groupChr>
            <m:r>
              <m:rPr>
                <m:sty m:val="p"/>
              </m:rPr>
              <m:t>)</m:t>
            </m:r>
            <m:r>
              <m:rPr>
                <m:sty m:val="p"/>
              </m:rPr>
              <m:t>,</m:t>
            </m:r>
            <m:r>
              <m:t/>
            </m:r>
            <m:sSub>
              <m:e>
                <m:r>
                  <m:rPr>
                    <m:sty m:val="i"/>
                  </m:rPr>
                  <m:t>μ</m:t>
                </m:r>
              </m:e>
              <m:sub>
                <m:r>
                  <m:rPr>
                    <m:sty m:val="i"/>
                  </m:rPr>
                  <m:t>t</m:t>
                </m:r>
              </m:sub>
            </m:sSub>
            <m:r>
              <m:rPr>
                <m:sty m:val="p"/>
              </m:rPr>
              <m:t>=</m:t>
            </m:r>
            <m:r>
              <m:rPr>
                <m:sty m:val="i"/>
              </m:rPr>
              <m:t>S</m:t>
            </m:r>
            <m:sSub>
              <m:e>
                <m:r>
                  <m:rPr>
                    <m:sty m:val="i"/>
                  </m:rPr>
                  <m:t>R</m:t>
                </m:r>
              </m:e>
              <m:sub>
                <m:r>
                  <m:rPr>
                    <m:sty m:val="i"/>
                  </m:rPr>
                  <m:t>t</m:t>
                </m:r>
              </m:sub>
            </m:sSub>
            <m:r>
              <m:rPr>
                <m:sty m:val="p"/>
              </m:rPr>
              <m:t>·</m:t>
            </m:r>
            <m:sSub>
              <m:e>
                <m:r>
                  <m:rPr>
                    <m:sty m:val="i"/>
                  </m:rPr>
                  <m:t>σ</m:t>
                </m:r>
              </m:e>
              <m:sub>
                <m:r>
                  <m:rPr>
                    <m:sty m:val="i"/>
                  </m:rPr>
                  <m:t>t</m:t>
                </m:r>
              </m:sub>
            </m:sSub>
            <m:r>
              <m:rPr>
                <m:sty m:val="p"/>
              </m:rPr>
              <m:t>,</m:t>
            </m:r>
            <m:r>
              <m:t/>
            </m:r>
            <m:r>
              <m:rPr>
                <m:sty m:val="i"/>
              </m:rPr>
              <m:t>β</m:t>
            </m:r>
            <m:r>
              <m:rPr>
                <m:sty m:val="p"/>
              </m:rPr>
              <m:t>&gt;</m:t>
            </m:r>
            <m:r>
              <m:rPr>
                <m:sty m:val="p"/>
              </m:rPr>
              <m:t>0</m:t>
            </m:r>
          </m:e>
        </m:box>
      </m:oMathPara>
    </w:p>
    <w:p>
      <w:pPr>
        <w:spacing w:before="0" w:after="60" w:line="360" w:lineRule="auto"/>
        <w:ind w:firstLine="480"/>
      </w:pPr>
      <w:r>
        <w:rPr>
          <w:rFonts w:ascii="Times New Roman" w:hAnsi="Times New Roman" w:eastAsia="宋体"/>
          <w:b w:val="0"/>
          <w:i w:val="0"/>
          <w:sz w:val="24"/>
        </w:rPr>
        <w:t>这一设定既有理论基础（风险-收益权衡），也符合经验事实——高波动期往往预示</w:t>
      </w:r>
      <w:r>
        <w:rPr>
          <w:rFonts w:ascii="Times New Roman" w:hAnsi="Times New Roman" w:eastAsia="宋体"/>
          <w:b/>
          <w:i w:val="0"/>
          <w:sz w:val="24"/>
        </w:rPr>
        <w:t>更高</w:t>
      </w:r>
      <w:r>
        <w:rPr>
          <w:rFonts w:ascii="Times New Roman" w:hAnsi="Times New Roman" w:eastAsia="宋体"/>
          <w:b w:val="0"/>
          <w:i w:val="0"/>
          <w:sz w:val="24"/>
        </w:rPr>
        <w:t>的绝对收益但</w:t>
      </w:r>
      <w:r>
        <w:rPr>
          <w:rFonts w:ascii="Times New Roman" w:hAnsi="Times New Roman" w:eastAsia="宋体"/>
          <w:b/>
          <w:i w:val="0"/>
          <w:sz w:val="24"/>
        </w:rPr>
        <w:t>更差</w:t>
      </w:r>
      <w:r>
        <w:rPr>
          <w:rFonts w:ascii="Times New Roman" w:hAnsi="Times New Roman" w:eastAsia="宋体"/>
          <w:b w:val="0"/>
          <w:i w:val="0"/>
          <w:sz w:val="24"/>
        </w:rPr>
        <w:t>的风险调整后收益。</w:t>
      </w:r>
    </w:p>
    <w:p>
      <w:pPr>
        <w:spacing w:before="0" w:after="60" w:line="360" w:lineRule="auto"/>
        <w:ind w:firstLine="480"/>
      </w:pPr>
      <w:r>
        <w:rPr>
          <w:rFonts w:ascii="Times New Roman" w:hAnsi="Times New Roman" w:eastAsia="宋体"/>
          <w:b w:val="0"/>
          <w:i w:val="0"/>
          <w:sz w:val="24"/>
        </w:rPr>
        <w:t>投资者在 t 期选择风险敞口 e_t ∈ [0, Ē]，其中 Ē 为杠杆上限（零售投资者 Ē=1）。组合收益为 e_t · r_t，其余配置于无风险资产。</w:t>
      </w:r>
    </w:p>
    <w:p>
      <w:pPr>
        <w:spacing w:before="180" w:after="80" w:line="360" w:lineRule="auto"/>
      </w:pPr>
      <w:r>
        <w:rPr>
          <w:rFonts w:ascii="Times New Roman" w:hAnsi="Times New Roman" w:eastAsia="黑体"/>
          <w:b/>
          <w:i w:val="0"/>
          <w:sz w:val="24"/>
        </w:rPr>
        <w:t>2.4.2 两层风控</w:t>
      </w:r>
    </w:p>
    <w:p>
      <w:pPr>
        <w:spacing w:before="0" w:after="60" w:line="360" w:lineRule="auto"/>
        <w:ind w:firstLine="480"/>
      </w:pPr>
      <w:r>
        <w:rPr>
          <w:rFonts w:ascii="Times New Roman" w:hAnsi="Times New Roman" w:eastAsia="宋体"/>
          <w:b/>
          <w:i w:val="0"/>
          <w:sz w:val="24"/>
        </w:rPr>
        <w:t>第一层：波动率目标。</w:t>
      </w:r>
      <w:r>
        <w:rPr>
          <w:rFonts w:ascii="Times New Roman" w:hAnsi="Times New Roman" w:eastAsia="宋体"/>
          <w:b w:val="0"/>
          <w:i w:val="0"/>
          <w:sz w:val="24"/>
        </w:rPr>
        <w:t xml:space="preserve"> 投资者以已实现波动的 EWMA 估计 σ̂_t 为基础，将敞口设定为：</w:t>
      </w:r>
    </w:p>
    <w:p>
      <w:pPr>
        <w:spacing w:before="160" w:after="160" w:line="240" w:lineRule="auto"/>
        <w:jc w:val="center"/>
      </w:pPr>
      <m:oMathPara>
        <m:box>
          <m:e>
            <m:sSubSup>
              <m:e>
                <m:r>
                  <m:rPr>
                    <m:sty m:val="i"/>
                  </m:rPr>
                  <m:t>e</m:t>
                </m:r>
              </m:e>
              <m:sub>
                <m:r>
                  <m:rPr>
                    <m:sty m:val="i"/>
                  </m:rPr>
                  <m:t>t</m:t>
                </m:r>
              </m:sub>
              <m:sup>
                <m:r>
                  <m:rPr>
                    <m:sty m:val="i"/>
                  </m:rPr>
                  <m:t>V</m:t>
                </m:r>
              </m:sup>
            </m:sSubSup>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r>
                                      <m:rPr>
                                        <m:sty m:val="i"/>
                                      </m:rPr>
                                      <m:t>t</m:t>
                                    </m:r>
                                  </m:sub>
                                </m:sSub>
                              </m:e>
                            </m:box>
                          </m:den>
                        </m:f>
                        <m:r>
                          <m:rPr>
                            <m:sty m:val="p"/>
                          </m:rPr>
                          <m:t>,</m:t>
                        </m:r>
                        <m:r>
                          <m:t/>
                        </m:r>
                        <m:groupChr>
                          <m:groupChrPr>
                            <m:chr m:val="¯"/>
                            <m:pos m:val="top"/>
                          </m:groupChrPr>
                          <m:e>
                            <m:box>
                              <m:e>
                                <m:r>
                                  <m:rPr>
                                    <m:sty m:val="i"/>
                                  </m:rPr>
                                  <m:t>E</m:t>
                                </m:r>
                              </m:e>
                            </m:box>
                          </m:e>
                        </m:groupChr>
                      </m:e>
                    </m:box>
                  </m:e>
                </m:d>
              </m:e>
            </m:box>
            <m:r>
              <m:rPr>
                <m:sty m:val="p"/>
              </m:rPr>
              <m:t>·</m:t>
            </m:r>
            <m:sSub>
              <m:e>
                <m:r>
                  <m:rPr>
                    <m:sty m:val="i"/>
                  </m:rPr>
                  <m:t>s</m:t>
                </m:r>
              </m:e>
              <m:sub>
                <m:r>
                  <m:rPr>
                    <m:sty m:val="i"/>
                  </m:rPr>
                  <m:t>t</m:t>
                </m:r>
              </m:sub>
            </m:sSub>
          </m:e>
        </m:box>
      </m:oMathPara>
    </w:p>
    <w:p>
      <w:pPr>
        <w:spacing w:before="0" w:after="60" w:line="360" w:lineRule="auto"/>
        <w:ind w:firstLine="480"/>
      </w:pPr>
      <w:r>
        <w:rPr>
          <w:rFonts w:ascii="Times New Roman" w:hAnsi="Times New Roman" w:eastAsia="宋体"/>
          <w:b w:val="0"/>
          <w:i w:val="0"/>
          <w:sz w:val="24"/>
        </w:rPr>
        <w:t>其中 σ* 为目标波动，s_t ∈ {0,1} 为趋势信号（资产在自身均线上方时取1）。</w:t>
      </w:r>
    </w:p>
    <w:p>
      <w:pPr>
        <w:spacing w:before="0" w:after="60" w:line="360" w:lineRule="auto"/>
        <w:ind w:firstLine="480"/>
      </w:pPr>
      <w:r>
        <w:rPr>
          <w:rFonts w:ascii="Times New Roman" w:hAnsi="Times New Roman" w:eastAsia="宋体"/>
          <w:b/>
          <w:i w:val="0"/>
          <w:sz w:val="24"/>
        </w:rPr>
        <w:t>第二层：回撤控制。</w:t>
      </w:r>
      <w:r>
        <w:rPr>
          <w:rFonts w:ascii="Times New Roman" w:hAnsi="Times New Roman" w:eastAsia="宋体"/>
          <w:b w:val="0"/>
          <w:i w:val="0"/>
          <w:sz w:val="24"/>
        </w:rPr>
        <w:t xml:space="preserve"> 定义水下深度 D_t = V_t / max_{s≤t} V_s − 1，回撤控制以乘性方式削减敞口：</w:t>
      </w:r>
    </w:p>
    <w:p>
      <w:pPr>
        <w:spacing w:before="160" w:after="160" w:line="240" w:lineRule="auto"/>
        <w:jc w:val="center"/>
      </w:pPr>
      <m:oMathPara>
        <m:box>
          <m:e>
            <m:sSub>
              <m:e>
                <m:r>
                  <m:rPr>
                    <m:sty m:val="i"/>
                  </m:rPr>
                  <m:t>ϕ</m:t>
                </m:r>
              </m:e>
              <m:sub>
                <m:r>
                  <m:rPr>
                    <m:sty m:val="i"/>
                  </m:rPr>
                  <m:t>t</m:t>
                </m:r>
              </m:sub>
            </m:sSub>
            <m:r>
              <m:rPr>
                <m:sty m:val="p"/>
              </m:rPr>
              <m:t>=</m:t>
            </m:r>
            <m:r>
              <m:rPr>
                <m:sty m:val="i"/>
              </m:rPr>
              <m:t>ϕ</m:t>
            </m:r>
            <m:r>
              <m:rPr>
                <m:sty m:val="p"/>
              </m:rPr>
              <m:t>(</m:t>
            </m:r>
            <m:sSub>
              <m:e>
                <m:r>
                  <m:rPr>
                    <m:sty m:val="i"/>
                  </m:rPr>
                  <m:t>D</m:t>
                </m:r>
              </m:e>
              <m:sub>
                <m:r>
                  <m:rPr>
                    <m:sty m:val="i"/>
                  </m:rPr>
                  <m:t>t</m:t>
                </m:r>
              </m:sub>
            </m:sSub>
            <m:r>
              <m:rPr>
                <m:sty m:val="p"/>
              </m:rPr>
              <m:t>)</m:t>
            </m:r>
            <m:r>
              <m:rPr>
                <m:sty m:val="p"/>
              </m:rPr>
              <m:t>∈</m:t>
            </m:r>
            <m:r>
              <m:rPr>
                <m:sty m:val="p"/>
              </m:rPr>
              <m:t>[</m:t>
            </m:r>
            <m:sSub>
              <m:e>
                <m:r>
                  <m:rPr>
                    <m:sty m:val="i"/>
                  </m:rPr>
                  <m:t>ϕ</m:t>
                </m:r>
              </m:e>
              <m:sub>
                <m:box>
                  <m:e>
                    <m:r>
                      <m:rPr>
                        <m:sty m:val="i"/>
                      </m:rPr>
                      <m:t>m</m:t>
                    </m:r>
                    <m:r>
                      <m:rPr>
                        <m:sty m:val="i"/>
                      </m:rPr>
                      <m:t>i</m:t>
                    </m:r>
                    <m:r>
                      <m:rPr>
                        <m:sty m:val="i"/>
                      </m:rPr>
                      <m:t>n</m:t>
                    </m:r>
                  </m:e>
                </m:box>
              </m:sub>
            </m:sSub>
            <m:r>
              <m:rPr>
                <m:sty m:val="p"/>
              </m:rPr>
              <m:t>,</m:t>
            </m:r>
            <m:r>
              <m:rPr>
                <m:sty m:val="p"/>
              </m:rPr>
              <m:t>1</m:t>
            </m:r>
            <m:r>
              <m:rPr>
                <m:sty m:val="p"/>
              </m:rPr>
              <m:t>]</m:t>
            </m:r>
            <m:r>
              <m:rPr>
                <m:sty m:val="p"/>
              </m:rPr>
              <m:t>,</m:t>
            </m:r>
            <m:r>
              <m:t/>
            </m:r>
            <m:r>
              <m:rPr>
                <m:sty m:val="i"/>
              </m:rPr>
              <m:t>ϕ</m:t>
            </m:r>
            <m:r>
              <m:rPr>
                <m:sty m:val="p"/>
              </m:rPr>
              <m:t>(</m:t>
            </m:r>
            <m:r>
              <m:rPr>
                <m:sty m:val="p"/>
              </m:rPr>
              <m:t>0</m:t>
            </m:r>
            <m:r>
              <m:rPr>
                <m:sty m:val="p"/>
              </m:rPr>
              <m:t>)</m:t>
            </m:r>
            <m:r>
              <m:rPr>
                <m:sty m:val="p"/>
              </m:rPr>
              <m:t>=</m:t>
            </m:r>
            <m:r>
              <m:rPr>
                <m:sty m:val="p"/>
              </m:rPr>
              <m:t>1</m:t>
            </m:r>
            <m:r>
              <m:rPr>
                <m:sty m:val="p"/>
              </m:rPr>
              <m:t>,</m:t>
            </m:r>
            <m:r>
              <m:rPr>
                <m:nor/>
              </m:rPr>
              <m:t> </m:t>
            </m:r>
            <m:sSup>
              <m:e>
                <m:r>
                  <m:rPr>
                    <m:sty m:val="i"/>
                  </m:rPr>
                  <m:t>ϕ</m:t>
                </m:r>
              </m:e>
              <m:sup>
                <m:r>
                  <m:rPr>
                    <m:sty m:val="i"/>
                  </m:rPr>
                  <m:t>′</m:t>
                </m:r>
              </m:sup>
            </m:sSup>
            <m:r>
              <m:rPr>
                <m:sty m:val="p"/>
              </m:rPr>
              <m:t>(</m:t>
            </m:r>
            <m:r>
              <m:rPr>
                <m:sty m:val="p"/>
              </m:rPr>
              <m:t>·</m:t>
            </m:r>
            <m:r>
              <m:rPr>
                <m:sty m:val="p"/>
              </m:rPr>
              <m:t>)</m:t>
            </m:r>
            <m:r>
              <m:rPr>
                <m:sty m:val="p"/>
              </m:rPr>
              <m:t>&lt;</m:t>
            </m:r>
            <m:r>
              <m:rPr>
                <m:sty m:val="p"/>
              </m:rPr>
              <m:t>0</m:t>
            </m:r>
          </m:e>
        </m:box>
      </m:oMathPara>
    </w:p>
    <w:p>
      <w:pPr>
        <w:spacing w:before="0" w:after="60" w:line="360" w:lineRule="auto"/>
        <w:ind w:firstLine="480"/>
      </w:pPr>
      <w:r>
        <w:rPr>
          <w:rFonts w:ascii="Times New Roman" w:hAnsi="Times New Roman" w:eastAsia="宋体"/>
          <w:b/>
          <w:i w:val="0"/>
          <w:sz w:val="24"/>
        </w:rPr>
        <w:t>实际敞口</w:t>
      </w:r>
      <w:r>
        <w:rPr>
          <w:rFonts w:ascii="Times New Roman" w:hAnsi="Times New Roman" w:eastAsia="宋体"/>
          <w:b w:val="0"/>
          <w:i w:val="0"/>
          <w:sz w:val="24"/>
        </w:rPr>
        <w:t>：</w:t>
      </w:r>
    </w:p>
    <w:p>
      <w:pPr>
        <w:spacing w:before="160" w:after="160" w:line="240" w:lineRule="auto"/>
        <w:jc w:val="center"/>
      </w:pPr>
      <m:oMathPara>
        <m:box>
          <m:e>
            <m:sSub>
              <m:e>
                <m:r>
                  <m:rPr>
                    <m:sty m:val="i"/>
                  </m:rPr>
                  <m:t>e</m:t>
                </m:r>
              </m:e>
              <m:sub>
                <m:r>
                  <m:rPr>
                    <m:sty m:val="i"/>
                  </m:rPr>
                  <m:t>t</m:t>
                </m:r>
              </m:sub>
            </m:sSub>
            <m:r>
              <m:rPr>
                <m:sty m:val="p"/>
              </m:rPr>
              <m:t>=</m:t>
            </m:r>
            <m:sSubSup>
              <m:e>
                <m:r>
                  <m:rPr>
                    <m:sty m:val="i"/>
                  </m:rPr>
                  <m:t>e</m:t>
                </m:r>
              </m:e>
              <m:sub>
                <m:r>
                  <m:rPr>
                    <m:sty m:val="i"/>
                  </m:rPr>
                  <m:t>t</m:t>
                </m:r>
              </m:sub>
              <m:sup>
                <m:r>
                  <m:rPr>
                    <m:sty m:val="i"/>
                  </m:rPr>
                  <m:t>V</m:t>
                </m:r>
              </m:sup>
            </m:sSubSup>
            <m:r>
              <m:rPr>
                <m:sty m:val="p"/>
              </m:rPr>
              <m:t>·</m:t>
            </m:r>
            <m:sSub>
              <m:e>
                <m:r>
                  <m:rPr>
                    <m:sty m:val="i"/>
                  </m:rPr>
                  <m:t>ϕ</m:t>
                </m:r>
              </m:e>
              <m:sub>
                <m:r>
                  <m:rPr>
                    <m:sty m:val="i"/>
                  </m:rPr>
                  <m:t>t</m:t>
                </m:r>
              </m:sub>
            </m:sSub>
          </m:e>
        </m:box>
      </m:oMathPara>
    </w:p>
    <w:p>
      <w:pPr>
        <w:spacing w:before="180" w:after="80" w:line="360" w:lineRule="auto"/>
      </w:pPr>
      <w:r>
        <w:rPr>
          <w:rFonts w:ascii="Times New Roman" w:hAnsi="Times New Roman" w:eastAsia="黑体"/>
          <w:b/>
          <w:i w:val="0"/>
          <w:sz w:val="24"/>
        </w:rPr>
        <w:t>2.4.3 命题</w:t>
      </w:r>
    </w:p>
    <w:p>
      <w:pPr>
        <w:spacing w:before="0" w:after="60" w:line="360" w:lineRule="auto"/>
        <w:ind w:firstLine="480"/>
      </w:pPr>
      <w:r>
        <w:rPr>
          <w:rFonts w:ascii="Times New Roman" w:hAnsi="Times New Roman" w:eastAsia="宋体"/>
          <w:b/>
          <w:i w:val="0"/>
          <w:sz w:val="24"/>
        </w:rPr>
        <w:t>命题1（截断的不对称性）。</w:t>
      </w:r>
      <w:r>
        <w:rPr>
          <w:rFonts w:ascii="Times New Roman" w:hAnsi="Times New Roman" w:eastAsia="宋体"/>
          <w:b w:val="0"/>
          <w:i w:val="0"/>
          <w:sz w:val="24"/>
        </w:rPr>
        <w:t xml:space="preserve"> 当 Ē=1 时，e^V_t = min(σ</w:t>
      </w:r>
      <w:r>
        <w:rPr>
          <w:rFonts w:ascii="Times New Roman" w:hAnsi="Times New Roman" w:eastAsia="宋体"/>
          <w:b w:val="0"/>
          <w:i w:val="0"/>
          <w:sz w:val="24"/>
        </w:rPr>
        <w:t>*/σ̂_t, 1) 在 σ̂_t &lt; σ*</w:t>
      </w:r>
      <w:r>
        <w:rPr>
          <w:rFonts w:ascii="Times New Roman" w:hAnsi="Times New Roman" w:eastAsia="宋体"/>
          <w:b w:val="0"/>
          <w:i w:val="0"/>
          <w:sz w:val="24"/>
        </w:rPr>
        <w:t xml:space="preserve"> 时被截断，波动率目标失去"低波动加仓"功能。因此 E[e^V] ≤ E[σ</w:t>
      </w:r>
      <w:r>
        <w:rPr>
          <w:rFonts w:ascii="Times New Roman" w:hAnsi="Times New Roman" w:eastAsia="宋体"/>
          <w:b w:val="0"/>
          <w:i w:val="0"/>
          <w:sz w:val="24"/>
        </w:rPr>
        <w:t>*/σ̂]，且截断缺口随 σ*</w:t>
      </w:r>
      <w:r>
        <w:rPr>
          <w:rFonts w:ascii="Times New Roman" w:hAnsi="Times New Roman" w:eastAsia="宋体"/>
          <w:b w:val="0"/>
          <w:i w:val="0"/>
          <w:sz w:val="24"/>
        </w:rPr>
        <w:t xml:space="preserve"> 上升而扩大。</w:t>
      </w:r>
    </w:p>
    <w:p>
      <w:pPr>
        <w:spacing w:before="0" w:after="60" w:line="360" w:lineRule="auto"/>
        <w:ind w:firstLine="480"/>
      </w:pPr>
      <w:r>
        <w:rPr>
          <w:rFonts w:ascii="Times New Roman" w:hAnsi="Times New Roman" w:eastAsia="宋体"/>
          <w:b w:val="0"/>
          <w:i w:val="0"/>
          <w:sz w:val="24"/>
        </w:rPr>
        <w:t>*证明思路*</w:t>
      </w:r>
      <w:r>
        <w:rPr>
          <w:rFonts w:ascii="Times New Roman" w:hAnsi="Times New Roman" w:eastAsia="宋体"/>
          <w:b w:val="0"/>
          <w:i w:val="0"/>
          <w:sz w:val="24"/>
        </w:rPr>
        <w:t>：令 g(σ</w:t>
      </w:r>
      <w:r>
        <w:rPr>
          <w:rFonts w:ascii="Times New Roman" w:hAnsi="Times New Roman" w:eastAsia="宋体"/>
          <w:b w:val="0"/>
          <w:i w:val="0"/>
          <w:sz w:val="24"/>
        </w:rPr>
        <w:t>*) = E[min(σ*</w:t>
      </w:r>
      <w:r>
        <w:rPr>
          <w:rFonts w:ascii="Times New Roman" w:hAnsi="Times New Roman" w:eastAsia="宋体"/>
          <w:b w:val="0"/>
          <w:i w:val="0"/>
          <w:sz w:val="24"/>
        </w:rPr>
        <w:t>/σ̂, 1)]。对任意固定的 σ̂，min(σ</w:t>
      </w:r>
      <w:r>
        <w:rPr>
          <w:rFonts w:ascii="Times New Roman" w:hAnsi="Times New Roman" w:eastAsia="宋体"/>
          <w:b w:val="0"/>
          <w:i w:val="0"/>
          <w:sz w:val="24"/>
        </w:rPr>
        <w:t>*/σ̂, 1) 关于 σ*</w:t>
      </w:r>
      <w:r>
        <w:rPr>
          <w:rFonts w:ascii="Times New Roman" w:hAnsi="Times New Roman" w:eastAsia="宋体"/>
          <w:b w:val="0"/>
          <w:i w:val="0"/>
          <w:sz w:val="24"/>
        </w:rPr>
        <w:t xml:space="preserve"> 单调不减且为凹函数（逐点最小值保持凹性），故 g 为 σ</w:t>
      </w:r>
      <w:r>
        <w:rPr>
          <w:rFonts w:ascii="Times New Roman" w:hAnsi="Times New Roman" w:eastAsia="宋体"/>
          <w:b w:val="0"/>
          <w:i w:val="0"/>
          <w:sz w:val="24"/>
        </w:rPr>
        <w:t>* 的单调不减凹函数，且 g(σ*</w:t>
      </w:r>
      <w:r>
        <w:rPr>
          <w:rFonts w:ascii="Times New Roman" w:hAnsi="Times New Roman" w:eastAsia="宋体"/>
          <w:b w:val="0"/>
          <w:i w:val="0"/>
          <w:sz w:val="24"/>
        </w:rPr>
        <w:t>) → 1（当 σ</w:t>
      </w:r>
      <w:r>
        <w:rPr>
          <w:rFonts w:ascii="Times New Roman" w:hAnsi="Times New Roman" w:eastAsia="宋体"/>
          <w:b w:val="0"/>
          <w:i w:val="0"/>
          <w:sz w:val="24"/>
        </w:rPr>
        <w:t>* ≥ sup σ̂）。而 h(σ*</w:t>
      </w:r>
      <w:r>
        <w:rPr>
          <w:rFonts w:ascii="Times New Roman" w:hAnsi="Times New Roman" w:eastAsia="宋体"/>
          <w:b w:val="0"/>
          <w:i w:val="0"/>
          <w:sz w:val="24"/>
        </w:rPr>
        <w:t>) = E[σ</w:t>
      </w:r>
      <w:r>
        <w:rPr>
          <w:rFonts w:ascii="Times New Roman" w:hAnsi="Times New Roman" w:eastAsia="宋体"/>
          <w:b w:val="0"/>
          <w:i w:val="0"/>
          <w:sz w:val="24"/>
        </w:rPr>
        <w:t>*/σ̂] = σ*</w:t>
      </w:r>
      <w:r>
        <w:rPr>
          <w:rFonts w:ascii="Times New Roman" w:hAnsi="Times New Roman" w:eastAsia="宋体"/>
          <w:b w:val="0"/>
          <w:i w:val="0"/>
          <w:sz w:val="24"/>
        </w:rPr>
        <w:t>·E[1/σ̂] 关于 σ</w:t>
      </w:r>
      <w:r>
        <w:rPr>
          <w:rFonts w:ascii="Times New Roman" w:hAnsi="Times New Roman" w:eastAsia="宋体"/>
          <w:b w:val="0"/>
          <w:i w:val="0"/>
          <w:sz w:val="24"/>
        </w:rPr>
        <w:t>* 线性递增且无上界。故 h − g 随 σ*</w:t>
      </w:r>
      <w:r>
        <w:rPr>
          <w:rFonts w:ascii="Times New Roman" w:hAnsi="Times New Roman" w:eastAsia="宋体"/>
          <w:b w:val="0"/>
          <w:i w:val="0"/>
          <w:sz w:val="24"/>
        </w:rPr>
        <w:t xml:space="preserve"> 单调扩大。∎</w:t>
      </w:r>
    </w:p>
    <w:p>
      <w:pPr>
        <w:spacing w:before="0" w:after="60" w:line="360" w:lineRule="auto"/>
        <w:ind w:firstLine="480"/>
      </w:pPr>
      <w:r>
        <w:rPr>
          <w:rFonts w:ascii="Times New Roman" w:hAnsi="Times New Roman" w:eastAsia="宋体"/>
          <w:b w:val="0"/>
          <w:i w:val="0"/>
          <w:sz w:val="24"/>
        </w:rPr>
        <w:t>命题1 的含义：无杠杆约束下，波动率目标退化为</w:t>
      </w:r>
      <w:r>
        <w:rPr>
          <w:rFonts w:ascii="Times New Roman" w:hAnsi="Times New Roman" w:eastAsia="宋体"/>
          <w:b/>
          <w:i w:val="0"/>
          <w:sz w:val="24"/>
        </w:rPr>
        <w:t>单向减仓工具</w:t>
      </w:r>
      <w:r>
        <w:rPr>
          <w:rFonts w:ascii="Times New Roman" w:hAnsi="Times New Roman" w:eastAsia="宋体"/>
          <w:b w:val="0"/>
          <w:i w:val="0"/>
          <w:sz w:val="24"/>
        </w:rPr>
        <w:t>。这与 Moreira-Muir 框架中"低波动加杠杆"的收益来源截然不同。</w:t>
      </w:r>
    </w:p>
    <w:p>
      <w:pPr>
        <w:spacing w:before="0" w:after="60" w:line="360" w:lineRule="auto"/>
        <w:ind w:firstLine="480"/>
      </w:pPr>
      <w:r>
        <w:rPr>
          <w:rFonts w:ascii="Times New Roman" w:hAnsi="Times New Roman" w:eastAsia="宋体"/>
          <w:b/>
          <w:i w:val="0"/>
          <w:sz w:val="24"/>
        </w:rPr>
        <w:t>命题2（时变过度减仓）。</w:t>
      </w:r>
      <w:r>
        <w:rPr>
          <w:rFonts w:ascii="Times New Roman" w:hAnsi="Times New Roman" w:eastAsia="宋体"/>
          <w:b w:val="0"/>
          <w:i w:val="0"/>
          <w:sz w:val="24"/>
        </w:rPr>
        <w:t xml:space="preserve"> 由于高波动期同时也是回撤最深期，两层风控的削减动作高度同步，即 corr(1−e^V, 1−φ) &gt; 0。因此，在高波动期，有效敞口被两层</w:t>
      </w:r>
      <w:r>
        <w:rPr>
          <w:rFonts w:ascii="Times New Roman" w:hAnsi="Times New Roman" w:eastAsia="宋体"/>
          <w:b/>
          <w:i w:val="0"/>
          <w:sz w:val="24"/>
        </w:rPr>
        <w:t>乘性叠加</w:t>
      </w:r>
      <w:r>
        <w:rPr>
          <w:rFonts w:ascii="Times New Roman" w:hAnsi="Times New Roman" w:eastAsia="宋体"/>
          <w:b w:val="0"/>
          <w:i w:val="0"/>
          <w:sz w:val="24"/>
        </w:rPr>
        <w:t>地削减（e^V·φ 的削减幅度大于任一单层）。</w:t>
      </w:r>
    </w:p>
    <w:p>
      <w:pPr>
        <w:spacing w:before="0" w:after="60" w:line="360" w:lineRule="auto"/>
        <w:ind w:firstLine="480"/>
      </w:pPr>
      <w:r>
        <w:rPr>
          <w:rFonts w:ascii="Times New Roman" w:hAnsi="Times New Roman" w:eastAsia="宋体"/>
          <w:b w:val="0"/>
          <w:i w:val="0"/>
          <w:sz w:val="24"/>
        </w:rPr>
        <w:t>这一命题的关键在于：它预测的不是"平均敞口低于各层乘积"（事实上，由于两层同向，E[e^V·φ] 可能略高于 E[e^V]·E[φ]），而是</w:t>
      </w:r>
      <w:r>
        <w:rPr>
          <w:rFonts w:ascii="Times New Roman" w:hAnsi="Times New Roman" w:eastAsia="宋体"/>
          <w:b/>
          <w:i w:val="0"/>
          <w:sz w:val="24"/>
        </w:rPr>
        <w:t>敞口在错误时点被过度削减</w:t>
      </w:r>
      <w:r>
        <w:rPr>
          <w:rFonts w:ascii="Times New Roman" w:hAnsi="Times New Roman" w:eastAsia="宋体"/>
          <w:b w:val="0"/>
          <w:i w:val="0"/>
          <w:sz w:val="24"/>
        </w:rPr>
        <w:t>——削减恰好发生在后续收益最高的时期。</w:t>
      </w:r>
    </w:p>
    <w:p>
      <w:pPr>
        <w:spacing w:before="0" w:after="60" w:line="360" w:lineRule="auto"/>
        <w:ind w:firstLine="480"/>
      </w:pPr>
      <w:r>
        <w:rPr>
          <w:rFonts w:ascii="Times New Roman" w:hAnsi="Times New Roman" w:eastAsia="宋体"/>
          <w:b/>
          <w:i w:val="0"/>
          <w:sz w:val="24"/>
        </w:rPr>
        <w:t>命题3（内点最优的存在性）。</w:t>
      </w:r>
      <w:r>
        <w:rPr>
          <w:rFonts w:ascii="Times New Roman" w:hAnsi="Times New Roman" w:eastAsia="宋体"/>
          <w:b w:val="0"/>
          <w:i w:val="0"/>
          <w:sz w:val="24"/>
        </w:rPr>
        <w:t xml:space="preserve"> 组合期望收益可分解为：</w:t>
      </w:r>
    </w:p>
    <w:p>
      <w:pPr>
        <w:spacing w:before="160" w:after="160" w:line="240" w:lineRule="auto"/>
        <w:jc w:val="center"/>
      </w:pPr>
      <m:oMathPara>
        <m:box>
          <m:e>
            <m:r>
              <m:rPr>
                <m:sty m:val="i"/>
              </m:rPr>
              <m:t>R</m:t>
            </m:r>
            <m:r>
              <m:rPr>
                <m:sty m:val="p"/>
              </m:rPr>
              <m:t>(</m:t>
            </m:r>
            <m:sSup>
              <m:e>
                <m:r>
                  <m:rPr>
                    <m:sty m:val="i"/>
                  </m:rPr>
                  <m:t>σ</m:t>
                </m:r>
              </m:e>
              <m:sup>
                <m:r>
                  <m:rPr>
                    <m:sty m:val="p"/>
                  </m:rPr>
                  <m:t>*</m:t>
                </m:r>
              </m:sup>
            </m:sSup>
            <m:r>
              <m:rPr>
                <m:sty m:val="p"/>
              </m:rPr>
              <m:t>)</m:t>
            </m:r>
            <m:r>
              <m:rPr>
                <m:sty m:val="p"/>
              </m:rPr>
              <m:t>=</m:t>
            </m:r>
            <m:limLow>
              <m:e>
                <m:groupChr>
                  <m:groupChrPr>
                    <m:chr m:val="⏟"/>
                    <m:pos m:val="bot"/>
                  </m:groupChrPr>
                  <m:e>
                    <m:box>
                      <m:e>
                        <m:groupChr>
                          <m:groupChrPr>
                            <m:chr m:val="¯"/>
                            <m:pos m:val="top"/>
                          </m:groupChrPr>
                          <m:e>
                            <m:box>
                              <m:e>
                                <m:r>
                                  <m:rPr>
                                    <m:sty m:val="i"/>
                                  </m:rPr>
                                  <m:t>e</m:t>
                                </m:r>
                              </m:e>
                            </m:box>
                          </m:e>
                        </m:groupChr>
                        <m:r>
                          <m:rPr>
                            <m:sty m:val="p"/>
                          </m:rPr>
                          <m:t>(</m:t>
                        </m:r>
                        <m:sSup>
                          <m:e>
                            <m:r>
                              <m:rPr>
                                <m:sty m:val="i"/>
                              </m:rPr>
                              <m:t>σ</m:t>
                            </m:r>
                          </m:e>
                          <m:sup>
                            <m:r>
                              <m:rPr>
                                <m:sty m:val="p"/>
                              </m:rPr>
                              <m:t>*</m:t>
                            </m:r>
                          </m:sup>
                        </m:sSup>
                        <m:r>
                          <m:rPr>
                            <m:sty m:val="p"/>
                          </m:rPr>
                          <m:t>)</m:t>
                        </m:r>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nary>
                          <m:naryPr>
                            <m:chr m:val="∑"/>
                            <m:limLoc m:val="undOvr"/>
                          </m:naryPr>
                          <m:sub>
                            <m:r>
                              <m:rPr>
                                <m:sty m:val="i"/>
                              </m:rPr>
                              <m:t>t</m:t>
                            </m:r>
                          </m:sub>
                          <m:sup/>
                          <m:e>
                            <m:r>
                              <m:rPr>
                                <m:sty m:val="p"/>
                              </m:rPr>
                              <m:t>(</m:t>
                            </m:r>
                            <m:sSub>
                              <m:e>
                                <m:r>
                                  <m:rPr>
                                    <m:sty m:val="i"/>
                                  </m:rPr>
                                  <m:t>e</m:t>
                                </m:r>
                              </m:e>
                              <m:sub>
                                <m:r>
                                  <m:rPr>
                                    <m:sty m:val="i"/>
                                  </m:rPr>
                                  <m:t>t</m:t>
                                </m:r>
                              </m:sub>
                            </m:sSub>
                            <m:r>
                              <m:rPr>
                                <m:sty m:val="p"/>
                              </m:rPr>
                              <m:t>−</m:t>
                            </m:r>
                            <m:groupChr>
                              <m:groupChrPr>
                                <m:chr m:val="¯"/>
                                <m:pos m:val="top"/>
                              </m:groupChrPr>
                              <m:e>
                                <m:box>
                                  <m:e>
                                    <m:r>
                                      <m:rPr>
                                        <m:sty m:val="i"/>
                                      </m:rPr>
                                      <m:t>e</m:t>
                                    </m:r>
                                  </m:e>
                                </m:box>
                              </m:e>
                            </m:groupChr>
                            <m:r>
                              <m:rPr>
                                <m:sty m:val="p"/>
                              </m:rPr>
                              <m:t>)</m:t>
                            </m:r>
                            <m:sSub>
                              <m:e>
                                <m:r>
                                  <m:rPr>
                                    <m:sty m:val="i"/>
                                  </m:rPr>
                                  <m:t>r</m:t>
                                </m:r>
                              </m:e>
                              <m:sub>
                                <m:r>
                                  <m:rPr>
                                    <m:sty m:val="i"/>
                                  </m:rPr>
                                  <m:t>t</m:t>
                                </m:r>
                              </m:sub>
                            </m:sSub>
                          </m:e>
                        </m:nary>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其中 ē(σ</w:t>
      </w:r>
      <w:r>
        <w:rPr>
          <w:rFonts w:ascii="Times New Roman" w:hAnsi="Times New Roman" w:eastAsia="宋体"/>
          <w:b w:val="0"/>
          <w:i w:val="0"/>
          <w:sz w:val="24"/>
        </w:rPr>
        <w:t>*) 为平均有效敞口。由命题2，随 σ*</w:t>
      </w:r>
      <w:r>
        <w:rPr>
          <w:rFonts w:ascii="Times New Roman" w:hAnsi="Times New Roman" w:eastAsia="宋体"/>
          <w:b w:val="0"/>
          <w:i w:val="0"/>
          <w:sz w:val="24"/>
        </w:rPr>
        <w:t xml:space="preserve"> 上升，回撤控制的触发频率与深度均上升，使 ē(σ</w:t>
      </w:r>
      <w:r>
        <w:rPr>
          <w:rFonts w:ascii="Times New Roman" w:hAnsi="Times New Roman" w:eastAsia="宋体"/>
          <w:b w:val="0"/>
          <w:i w:val="0"/>
          <w:sz w:val="24"/>
        </w:rPr>
        <w:t>*) 的增长被显著抑制（实证中 ē 在 σ*</w:t>
      </w:r>
      <w:r>
        <w:rPr>
          <w:rFonts w:ascii="Times New Roman" w:hAnsi="Times New Roman" w:eastAsia="宋体"/>
          <w:b w:val="0"/>
          <w:i w:val="0"/>
          <w:sz w:val="24"/>
        </w:rPr>
        <w:t xml:space="preserve"> &gt; 5.5% 后近乎封顶）；同时，回撤控制的机械削减破坏了趋势择时信号的完整性，使择时效应下降。因此 R(σ</w:t>
      </w:r>
      <w:r>
        <w:rPr>
          <w:rFonts w:ascii="Times New Roman" w:hAnsi="Times New Roman" w:eastAsia="宋体"/>
          <w:b w:val="0"/>
          <w:i w:val="0"/>
          <w:sz w:val="24"/>
        </w:rPr>
        <w:t>*) 在 σ*</w:t>
      </w:r>
      <w:r>
        <w:rPr>
          <w:rFonts w:ascii="Times New Roman" w:hAnsi="Times New Roman" w:eastAsia="宋体"/>
          <w:b w:val="0"/>
          <w:i w:val="0"/>
          <w:sz w:val="24"/>
        </w:rPr>
        <w:t xml:space="preserve"> 较小时递增、在 σ</w:t>
      </w:r>
      <w:r>
        <w:rPr>
          <w:rFonts w:ascii="Times New Roman" w:hAnsi="Times New Roman" w:eastAsia="宋体"/>
          <w:b w:val="0"/>
          <w:i w:val="0"/>
          <w:sz w:val="24"/>
        </w:rPr>
        <w:t>* 较大时递减，*</w:t>
      </w:r>
      <w:r>
        <w:rPr>
          <w:rFonts w:ascii="Times New Roman" w:hAnsi="Times New Roman" w:eastAsia="宋体"/>
          <w:b w:val="0"/>
          <w:i w:val="0"/>
          <w:sz w:val="24"/>
        </w:rPr>
        <w:t>*存在内点最大值*</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推论（杠杆无法化解）。</w:t>
      </w:r>
      <w:r>
        <w:rPr>
          <w:rFonts w:ascii="Times New Roman" w:hAnsi="Times New Roman" w:eastAsia="宋体"/>
          <w:b w:val="0"/>
          <w:i w:val="0"/>
          <w:sz w:val="24"/>
        </w:rPr>
        <w:t xml:space="preserve"> 由于 φ 的削减是乘性的，提高 Ē 只能放大 e^V，无法改变 φ 的触发概率与削减比例。因此放松杠杆约束</w:t>
      </w:r>
      <w:r>
        <w:rPr>
          <w:rFonts w:ascii="Times New Roman" w:hAnsi="Times New Roman" w:eastAsia="宋体"/>
          <w:b/>
          <w:i w:val="0"/>
          <w:sz w:val="24"/>
        </w:rPr>
        <w:t>不能消除</w:t>
      </w:r>
      <w:r>
        <w:rPr>
          <w:rFonts w:ascii="Times New Roman" w:hAnsi="Times New Roman" w:eastAsia="宋体"/>
          <w:b w:val="0"/>
          <w:i w:val="0"/>
          <w:sz w:val="24"/>
        </w:rPr>
        <w:t>内点最优，只能在一定程度上缓解（实证中末端衰减从0.67pp降至0.14pp）。</w:t>
      </w:r>
    </w:p>
    <w:p>
      <w:pPr>
        <w:spacing w:before="180" w:after="80" w:line="360" w:lineRule="auto"/>
      </w:pPr>
      <w:r>
        <w:rPr>
          <w:rFonts w:ascii="Times New Roman" w:hAnsi="Times New Roman" w:eastAsia="黑体"/>
          <w:b/>
          <w:i w:val="0"/>
          <w:sz w:val="24"/>
        </w:rPr>
        <w:t>2.4.4 可检验假说</w:t>
      </w:r>
    </w:p>
    <w:p>
      <w:pPr>
        <w:spacing w:before="40" w:after="40" w:line="336" w:lineRule="auto"/>
        <w:ind w:left="480"/>
      </w:pPr>
      <w:r>
        <w:rPr>
          <w:rFonts w:ascii="Times New Roman" w:hAnsi="Times New Roman" w:eastAsia="宋体"/>
          <w:b/>
          <w:i w:val="0"/>
          <w:sz w:val="24"/>
        </w:rPr>
        <w:t>H1（前沿分岔）</w:t>
      </w:r>
      <w:r>
        <w:rPr>
          <w:rFonts w:ascii="Times New Roman" w:hAnsi="Times New Roman" w:eastAsia="宋体"/>
          <w:b w:val="0"/>
          <w:i w:val="0"/>
          <w:sz w:val="24"/>
        </w:rPr>
        <w:t>：单独使用波动率目标时，年化收益关于 σ* 单调递增；叠加回撤控制后，转为单峰，存在内点最优。</w:t>
      </w:r>
    </w:p>
    <w:p>
      <w:pPr>
        <w:spacing w:before="40" w:after="40" w:line="336" w:lineRule="auto"/>
        <w:ind w:left="480"/>
      </w:pPr>
      <w:r>
        <w:rPr>
          <w:rFonts w:ascii="Times New Roman" w:hAnsi="Times New Roman" w:eastAsia="宋体"/>
          <w:b/>
          <w:i w:val="0"/>
          <w:sz w:val="24"/>
        </w:rPr>
        <w:t>H2（负交互）</w:t>
      </w:r>
      <w:r>
        <w:rPr>
          <w:rFonts w:ascii="Times New Roman" w:hAnsi="Times New Roman" w:eastAsia="宋体"/>
          <w:b w:val="0"/>
          <w:i w:val="0"/>
          <w:sz w:val="24"/>
        </w:rPr>
        <w:t>：交互项回归中，σ</w:t>
      </w:r>
      <w:r>
        <w:rPr>
          <w:rFonts w:ascii="Times New Roman" w:hAnsi="Times New Roman" w:eastAsia="宋体"/>
          <w:b w:val="0"/>
          <w:i w:val="0"/>
          <w:sz w:val="24"/>
        </w:rPr>
        <w:t>* × DC 的系数显著为负，且其绝对值接近 σ*</w:t>
      </w:r>
      <w:r>
        <w:rPr>
          <w:rFonts w:ascii="Times New Roman" w:hAnsi="Times New Roman" w:eastAsia="宋体"/>
          <w:b w:val="0"/>
          <w:i w:val="0"/>
          <w:sz w:val="24"/>
        </w:rPr>
        <w:t xml:space="preserve"> 主效应系数。</w:t>
      </w:r>
    </w:p>
    <w:p>
      <w:pPr>
        <w:spacing w:before="40" w:after="40" w:line="336" w:lineRule="auto"/>
        <w:ind w:left="480"/>
      </w:pPr>
      <w:r>
        <w:rPr>
          <w:rFonts w:ascii="Times New Roman" w:hAnsi="Times New Roman" w:eastAsia="宋体"/>
          <w:b/>
          <w:i w:val="0"/>
          <w:sz w:val="24"/>
        </w:rPr>
        <w:t>H3（机制：敞口实现率）</w:t>
      </w:r>
      <w:r>
        <w:rPr>
          <w:rFonts w:ascii="Times New Roman" w:hAnsi="Times New Roman" w:eastAsia="宋体"/>
          <w:b w:val="0"/>
          <w:i w:val="0"/>
          <w:sz w:val="24"/>
        </w:rPr>
        <w:t>：随 σ* 上升，敞口实现率（实际波动/目标波动）单调下降，回撤控制的敞口削减比例单调上升。</w:t>
      </w:r>
    </w:p>
    <w:p>
      <w:pPr>
        <w:spacing w:before="40" w:after="40" w:line="336" w:lineRule="auto"/>
        <w:ind w:left="480"/>
      </w:pPr>
      <w:r>
        <w:rPr>
          <w:rFonts w:ascii="Times New Roman" w:hAnsi="Times New Roman" w:eastAsia="宋体"/>
          <w:b/>
          <w:i w:val="0"/>
          <w:sz w:val="24"/>
        </w:rPr>
        <w:t>H4（机制：错误时点）</w:t>
      </w:r>
      <w:r>
        <w:rPr>
          <w:rFonts w:ascii="Times New Roman" w:hAnsi="Times New Roman" w:eastAsia="宋体"/>
          <w:b w:val="0"/>
          <w:i w:val="0"/>
          <w:sz w:val="24"/>
        </w:rPr>
        <w:t>：减仓最深的时期，其后较长窗口（250个交易日）的收益不低于甚至高于未减仓期。</w:t>
      </w:r>
    </w:p>
    <w:p>
      <w:pPr>
        <w:spacing w:before="40" w:after="40" w:line="336" w:lineRule="auto"/>
        <w:ind w:left="480"/>
      </w:pPr>
      <w:r>
        <w:rPr>
          <w:rFonts w:ascii="Times New Roman" w:hAnsi="Times New Roman" w:eastAsia="宋体"/>
          <w:b/>
          <w:i w:val="0"/>
          <w:sz w:val="24"/>
        </w:rPr>
        <w:t>H5（杠杆无法化解）</w:t>
      </w:r>
      <w:r>
        <w:rPr>
          <w:rFonts w:ascii="Times New Roman" w:hAnsi="Times New Roman" w:eastAsia="宋体"/>
          <w:b w:val="0"/>
          <w:i w:val="0"/>
          <w:sz w:val="24"/>
        </w:rPr>
        <w:t>：放松 Ē 至2后，内点最优依然存在。</w:t>
      </w:r>
    </w:p>
    <w:p>
      <w:pPr>
        <w:spacing w:before="320" w:after="200" w:line="360" w:lineRule="auto"/>
        <w:jc w:val="center"/>
      </w:pPr>
      <w:r>
        <w:rPr>
          <w:rFonts w:ascii="Times New Roman" w:hAnsi="Times New Roman" w:eastAsia="黑体"/>
          <w:b/>
          <w:i w:val="0"/>
          <w:sz w:val="30"/>
        </w:rPr>
        <w:t>三、研究设计</w:t>
      </w:r>
    </w:p>
    <w:p>
      <w:pPr>
        <w:spacing w:before="240" w:after="100" w:line="360" w:lineRule="auto"/>
      </w:pPr>
      <w:r>
        <w:rPr>
          <w:rFonts w:ascii="Times New Roman" w:hAnsi="Times New Roman" w:eastAsia="黑体"/>
          <w:b/>
          <w:i w:val="0"/>
          <w:sz w:val="26"/>
        </w:rPr>
        <w:t>3.1 数据与资产池</w:t>
      </w:r>
    </w:p>
    <w:p>
      <w:pPr>
        <w:spacing w:before="0" w:after="60" w:line="360" w:lineRule="auto"/>
        <w:ind w:firstLine="480"/>
      </w:pPr>
      <w:r>
        <w:rPr>
          <w:rFonts w:ascii="Times New Roman" w:hAnsi="Times New Roman" w:eastAsia="宋体"/>
          <w:b w:val="0"/>
          <w:i w:val="0"/>
          <w:sz w:val="24"/>
        </w:rPr>
        <w:t>本文使用 AkShare 开源数据库获取中国境内上市 ETF 的日频行情，样本区间为2013年8月1日至2026年10月20日（共3210个交易日，13.2年）。选取该起点是因为纳指ETF（2013-05-15上市）与黄金ETF（2013-07-29上市）自此才同时可得，保证多资产池的完整性。</w:t>
      </w:r>
    </w:p>
    <w:p>
      <w:pPr>
        <w:spacing w:before="0" w:after="60" w:line="360" w:lineRule="auto"/>
        <w:ind w:firstLine="480"/>
      </w:pPr>
      <w:r>
        <w:rPr>
          <w:rFonts w:ascii="Times New Roman" w:hAnsi="Times New Roman" w:eastAsia="宋体"/>
          <w:b/>
          <w:i w:val="0"/>
          <w:sz w:val="24"/>
        </w:rPr>
        <w:t>资产池</w:t>
      </w:r>
      <w:r>
        <w:rPr>
          <w:rFonts w:ascii="Times New Roman" w:hAnsi="Times New Roman" w:eastAsia="宋体"/>
          <w:b w:val="0"/>
          <w:i w:val="0"/>
          <w:sz w:val="24"/>
        </w:rPr>
        <w:t>包括六类风险资产与两类安全资产：</w:t>
      </w:r>
    </w:p>
    <w:p>
      <w:pPr>
        <w:spacing w:before="0" w:after="60" w:line="360" w:lineRule="auto"/>
        <w:ind w:firstLine="480"/>
      </w:pPr>
      <w:r>
        <w:rPr>
          <w:rFonts w:ascii="Times New Roman" w:hAnsi="Times New Roman" w:eastAsia="宋体"/>
          <w:b w:val="0"/>
          <w:i w:val="0"/>
          <w:sz w:val="24"/>
        </w:rPr>
        <w:t>| 资产 | 代码 | 起始日 | 年化% | 波动% | 夏普 | 最大回撤%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红利ETF | 510880 | 2013-08 | 9.99 | 20.15 | 0.50 | −46.54 |</w:t>
      </w:r>
    </w:p>
    <w:p>
      <w:pPr>
        <w:spacing w:before="0" w:after="60" w:line="360" w:lineRule="auto"/>
        <w:ind w:firstLine="480"/>
      </w:pPr>
      <w:r>
        <w:rPr>
          <w:rFonts w:ascii="Times New Roman" w:hAnsi="Times New Roman" w:eastAsia="宋体"/>
          <w:b w:val="0"/>
          <w:i w:val="0"/>
          <w:sz w:val="24"/>
        </w:rPr>
        <w:t>| 沪深300ETF | 510300 | 2013-08 | 6.73 | 22.16 | 0.30 | −45.44 |</w:t>
      </w:r>
    </w:p>
    <w:p>
      <w:pPr>
        <w:spacing w:before="0" w:after="60" w:line="360" w:lineRule="auto"/>
        <w:ind w:firstLine="480"/>
      </w:pPr>
      <w:r>
        <w:rPr>
          <w:rFonts w:ascii="Times New Roman" w:hAnsi="Times New Roman" w:eastAsia="宋体"/>
          <w:b w:val="0"/>
          <w:i w:val="0"/>
          <w:sz w:val="24"/>
        </w:rPr>
        <w:t>| 中证500ETF | 510500 | 2013-08 | 7.62 | 28.07 | 0.27 | −65.77 |</w:t>
      </w:r>
    </w:p>
    <w:p>
      <w:pPr>
        <w:spacing w:before="0" w:after="60" w:line="360" w:lineRule="auto"/>
        <w:ind w:firstLine="480"/>
      </w:pPr>
      <w:r>
        <w:rPr>
          <w:rFonts w:ascii="Times New Roman" w:hAnsi="Times New Roman" w:eastAsia="宋体"/>
          <w:b w:val="0"/>
          <w:i w:val="0"/>
          <w:sz w:val="24"/>
        </w:rPr>
        <w:t>| 黄金ETF | 518880 | 2013-08 | 9.56 | 15.22 | 0.63 | −30.52 |</w:t>
      </w:r>
    </w:p>
    <w:p>
      <w:pPr>
        <w:spacing w:before="0" w:after="60" w:line="360" w:lineRule="auto"/>
        <w:ind w:firstLine="480"/>
      </w:pPr>
      <w:r>
        <w:rPr>
          <w:rFonts w:ascii="Times New Roman" w:hAnsi="Times New Roman" w:eastAsia="宋体"/>
          <w:b w:val="0"/>
          <w:i w:val="0"/>
          <w:sz w:val="24"/>
        </w:rPr>
        <w:t>| 纳指ETF | 513100 | 2013-08 | 21.13 | 21.58 | 0.98 | −28.49 |</w:t>
      </w:r>
    </w:p>
    <w:p>
      <w:pPr>
        <w:spacing w:before="0" w:after="60" w:line="360" w:lineRule="auto"/>
        <w:ind w:firstLine="480"/>
      </w:pPr>
      <w:r>
        <w:rPr>
          <w:rFonts w:ascii="Times New Roman" w:hAnsi="Times New Roman" w:eastAsia="宋体"/>
          <w:b w:val="0"/>
          <w:i w:val="0"/>
          <w:sz w:val="24"/>
        </w:rPr>
        <w:t>| 恒生ETF | 159920 | 2013-08 | 3.29 | 21.02 | 0.16 | −47.31 |</w:t>
      </w:r>
    </w:p>
    <w:p>
      <w:pPr>
        <w:spacing w:before="0" w:after="60" w:line="360" w:lineRule="auto"/>
        <w:ind w:firstLine="480"/>
      </w:pPr>
      <w:r>
        <w:rPr>
          <w:rFonts w:ascii="Times New Roman" w:hAnsi="Times New Roman" w:eastAsia="宋体"/>
          <w:b w:val="0"/>
          <w:i w:val="0"/>
          <w:sz w:val="24"/>
        </w:rPr>
        <w:t>| 国债ETF | 511010 | 2013-08 | 3.10 | 2.39 | 1.30 | −4.92 |</w:t>
      </w:r>
    </w:p>
    <w:p>
      <w:pPr>
        <w:spacing w:before="0" w:after="60" w:line="360" w:lineRule="auto"/>
        <w:ind w:firstLine="480"/>
      </w:pPr>
      <w:r>
        <w:rPr>
          <w:rFonts w:ascii="Times New Roman" w:hAnsi="Times New Roman" w:eastAsia="宋体"/>
          <w:b w:val="0"/>
          <w:i w:val="0"/>
          <w:sz w:val="24"/>
        </w:rPr>
        <w:t>| 现金 | — | — | 2.00 | 0.00 | — | 0.00 |</w:t>
      </w:r>
    </w:p>
    <w:p>
      <w:pPr>
        <w:spacing w:before="0" w:after="60" w:line="360" w:lineRule="auto"/>
        <w:ind w:firstLine="480"/>
      </w:pPr>
      <w:r>
        <w:rPr>
          <w:rFonts w:ascii="Times New Roman" w:hAnsi="Times New Roman" w:eastAsia="宋体"/>
          <w:b w:val="0"/>
          <w:i w:val="0"/>
          <w:sz w:val="24"/>
        </w:rPr>
        <w:t>相关性矩阵显示：黄金与所有其他资产的相关系数介于0.02—0.09之间，几乎完全独立；纳指与A股资产相关性0.21—0.30；A股内部（红利、沪深300、中证500）相关性0.69—0.84。这一相关结构为跨资产分散提供了基础。</w:t>
      </w:r>
    </w:p>
    <w:p>
      <w:pPr>
        <w:spacing w:before="0" w:after="60" w:line="360" w:lineRule="auto"/>
        <w:ind w:firstLine="480"/>
      </w:pPr>
      <w:r>
        <w:rPr>
          <w:rFonts w:ascii="Times New Roman" w:hAnsi="Times New Roman" w:eastAsia="宋体"/>
          <w:b/>
          <w:i w:val="0"/>
          <w:sz w:val="24"/>
        </w:rPr>
        <w:t>全收益序列的构建</w:t>
      </w:r>
      <w:r>
        <w:rPr>
          <w:rFonts w:ascii="Times New Roman" w:hAnsi="Times New Roman" w:eastAsia="宋体"/>
          <w:b w:val="0"/>
          <w:i w:val="0"/>
          <w:sz w:val="24"/>
        </w:rPr>
        <w:t>：红利ETF与沪深300ETF采用"原始价格 + 天天基金 F10 分红记录"手工重建全收益序列，以避免前复权数据在份额折算时产生的污染（详见3.4节）。其余资产采用前复权序列。</w:t>
      </w:r>
    </w:p>
    <w:p>
      <w:pPr>
        <w:spacing w:before="240" w:after="100" w:line="360" w:lineRule="auto"/>
      </w:pPr>
      <w:r>
        <w:rPr>
          <w:rFonts w:ascii="Times New Roman" w:hAnsi="Times New Roman" w:eastAsia="黑体"/>
          <w:b/>
          <w:i w:val="0"/>
          <w:sz w:val="26"/>
        </w:rPr>
        <w:t>3.2 信号构造</w:t>
      </w:r>
    </w:p>
    <w:p>
      <w:pPr>
        <w:spacing w:before="0" w:after="60" w:line="360" w:lineRule="auto"/>
        <w:ind w:firstLine="480"/>
      </w:pPr>
      <w:r>
        <w:rPr>
          <w:rFonts w:ascii="Times New Roman" w:hAnsi="Times New Roman" w:eastAsia="宋体"/>
          <w:b w:val="0"/>
          <w:i w:val="0"/>
          <w:sz w:val="24"/>
        </w:rPr>
        <w:t>遵照"因子宜少不宜多"的原则，本文仅使用三个信号：</w:t>
      </w:r>
    </w:p>
    <w:p>
      <w:pPr>
        <w:spacing w:before="0" w:after="60" w:line="360" w:lineRule="auto"/>
        <w:ind w:firstLine="480"/>
      </w:pPr>
      <w:r>
        <w:rPr>
          <w:rFonts w:ascii="Times New Roman" w:hAnsi="Times New Roman" w:eastAsia="宋体"/>
          <w:b/>
          <w:i w:val="0"/>
          <w:sz w:val="24"/>
        </w:rPr>
        <w:t>信号1：趋势（各资产独立）。</w:t>
      </w:r>
      <w:r>
        <w:rPr>
          <w:rFonts w:ascii="Times New Roman" w:hAnsi="Times New Roman" w:eastAsia="宋体"/>
          <w:b w:val="0"/>
          <w:i w:val="0"/>
          <w:sz w:val="24"/>
        </w:rPr>
        <w:t xml:space="preserve"> s_{i,t} = 1{P_{i,t} &gt; MA200_{i,t}}。资产跌破自身200日均线即空仓，资金转入国债ETF。这对应实务中的"绝对动量"规则。</w:t>
      </w:r>
    </w:p>
    <w:p>
      <w:pPr>
        <w:spacing w:before="0" w:after="60" w:line="360" w:lineRule="auto"/>
        <w:ind w:firstLine="480"/>
      </w:pPr>
      <w:r>
        <w:rPr>
          <w:rFonts w:ascii="Times New Roman" w:hAnsi="Times New Roman" w:eastAsia="宋体"/>
          <w:b/>
          <w:i w:val="0"/>
          <w:sz w:val="24"/>
        </w:rPr>
        <w:t>信号2：沪深300的五年价格分位。</w:t>
      </w:r>
      <w:r>
        <w:rPr>
          <w:rFonts w:ascii="Times New Roman" w:hAnsi="Times New Roman" w:eastAsia="宋体"/>
          <w:b w:val="0"/>
          <w:i w:val="0"/>
          <w:sz w:val="24"/>
        </w:rPr>
        <w:t xml:space="preserve"> 以1250个交易日为窗口计算 (P − min)/(max − min)，用于调节A股资产的权重：分位&lt;30%时A股权重×1.25（洼地加仓），分位&gt;80%时×0.45（炒高收缩）。</w:t>
      </w:r>
      <w:r>
        <w:rPr>
          <w:rFonts w:ascii="Times New Roman" w:hAnsi="Times New Roman" w:eastAsia="宋体"/>
          <w:b/>
          <w:i w:val="0"/>
          <w:sz w:val="24"/>
        </w:rPr>
        <w:t>使用价格分位而非PE的原因</w:t>
      </w:r>
      <w:r>
        <w:rPr>
          <w:rFonts w:ascii="Times New Roman" w:hAnsi="Times New Roman" w:eastAsia="宋体"/>
          <w:b w:val="0"/>
          <w:i w:val="0"/>
          <w:sz w:val="24"/>
        </w:rPr>
        <w:t>：一是沪深300的PE数据在公开渠道存在严重的缺失与口径不一致；二是价格分位在理念上契合"价格已包含一切"的半强有效市场观。</w:t>
      </w:r>
    </w:p>
    <w:p>
      <w:pPr>
        <w:spacing w:before="0" w:after="60" w:line="360" w:lineRule="auto"/>
        <w:ind w:firstLine="480"/>
      </w:pPr>
      <w:r>
        <w:rPr>
          <w:rFonts w:ascii="Times New Roman" w:hAnsi="Times New Roman" w:eastAsia="宋体"/>
          <w:b/>
          <w:i w:val="0"/>
          <w:sz w:val="24"/>
        </w:rPr>
        <w:t>信号3：M1-M2剪刀差。</w:t>
      </w:r>
      <w:r>
        <w:rPr>
          <w:rFonts w:ascii="Times New Roman" w:hAnsi="Times New Roman" w:eastAsia="宋体"/>
          <w:b w:val="0"/>
          <w:i w:val="0"/>
          <w:sz w:val="24"/>
        </w:rPr>
        <w:t xml:space="preserve"> 来自央行月度数据，日频前向填充。剪刀差&lt;−10时，A股权重再打六折。该信号刻画"场外资金"状况。</w:t>
      </w:r>
    </w:p>
    <w:p>
      <w:pPr>
        <w:spacing w:before="240" w:after="100" w:line="360" w:lineRule="auto"/>
      </w:pPr>
      <w:r>
        <w:rPr>
          <w:rFonts w:ascii="Times New Roman" w:hAnsi="Times New Roman" w:eastAsia="黑体"/>
          <w:b/>
          <w:i w:val="0"/>
          <w:sz w:val="26"/>
        </w:rPr>
        <w:t>3.3 两层风控的形式化</w:t>
      </w:r>
    </w:p>
    <w:p>
      <w:pPr>
        <w:spacing w:before="0" w:after="60" w:line="360" w:lineRule="auto"/>
        <w:ind w:firstLine="480"/>
      </w:pPr>
      <w:r>
        <w:rPr>
          <w:rFonts w:ascii="Times New Roman" w:hAnsi="Times New Roman" w:eastAsia="宋体"/>
          <w:b/>
          <w:i w:val="0"/>
          <w:sz w:val="24"/>
        </w:rPr>
        <w:t>第一层（月度，波动率目标）：</w:t>
      </w:r>
    </w:p>
    <w:p>
      <w:pPr>
        <w:spacing w:before="0" w:after="60" w:line="360" w:lineRule="auto"/>
        <w:ind w:firstLine="480"/>
      </w:pPr>
      <w:r>
        <w:rPr>
          <w:rFonts w:ascii="Times New Roman" w:hAnsi="Times New Roman" w:eastAsia="宋体"/>
          <w:b w:val="0"/>
          <w:i w:val="0"/>
          <w:sz w:val="24"/>
        </w:rPr>
        <w:t>在每月首个交易日，计算入选资产（趋势信号为1者）的逆波动权重 w_i ∝ 1/σ̂_i，经A股信号调节后归一化，再乘以总权益仓：</w:t>
      </w:r>
    </w:p>
    <w:p>
      <w:pPr>
        <w:spacing w:before="160" w:after="160" w:line="240" w:lineRule="auto"/>
        <w:jc w:val="center"/>
      </w:pPr>
      <m:oMathPara>
        <m:box>
          <m:e>
            <m:sSub>
              <m:e>
                <m:r>
                  <m:rPr>
                    <m:sty m:val="i"/>
                  </m:rPr>
                  <m:t>E</m:t>
                </m:r>
              </m:e>
              <m:sub>
                <m:r>
                  <m:rPr>
                    <m:sty m:val="i"/>
                  </m:rPr>
                  <m:t>t</m:t>
                </m:r>
              </m:sub>
            </m:sSub>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box>
                                      <m:e>
                                        <m:r>
                                          <m:rPr>
                                            <m:sty m:val="i"/>
                                          </m:rPr>
                                          <m:t>p</m:t>
                                        </m:r>
                                        <m:r>
                                          <m:rPr>
                                            <m:sty m:val="p"/>
                                          </m:rPr>
                                          <m:t>,</m:t>
                                        </m:r>
                                        <m:r>
                                          <m:rPr>
                                            <m:sty m:val="i"/>
                                          </m:rPr>
                                          <m:t>t</m:t>
                                        </m:r>
                                      </m:e>
                                    </m:box>
                                  </m:sub>
                                </m:sSub>
                              </m:e>
                            </m:box>
                          </m:den>
                        </m:f>
                        <m:r>
                          <m:rPr>
                            <m:sty m:val="p"/>
                          </m:rPr>
                          <m:t>,</m:t>
                        </m:r>
                        <m:r>
                          <m:t/>
                        </m:r>
                        <m:groupChr>
                          <m:groupChrPr>
                            <m:chr m:val="¯"/>
                            <m:pos m:val="top"/>
                          </m:groupChrPr>
                          <m:e>
                            <m:box>
                              <m:e>
                                <m:r>
                                  <m:rPr>
                                    <m:sty m:val="i"/>
                                  </m:rPr>
                                  <m:t>E</m:t>
                                </m:r>
                              </m:e>
                            </m:box>
                          </m:e>
                        </m:groupChr>
                      </m:e>
                    </m:box>
                  </m:e>
                </m:d>
              </m:e>
            </m:box>
            <m:r>
              <m:rPr>
                <m:sty m:val="p"/>
              </m:rPr>
              <m:t>,</m:t>
            </m:r>
            <m:r>
              <m:t/>
            </m:r>
            <m:sSub>
              <m:e>
                <m:limUpp>
                  <m:e>
                    <m:box>
                      <m:e>
                        <m:r>
                          <m:rPr>
                            <m:sty m:val="i"/>
                          </m:rPr>
                          <m:t>σ</m:t>
                        </m:r>
                      </m:e>
                    </m:box>
                  </m:e>
                  <m:lim>
                    <m:r>
                      <m:rPr>
                        <m:sty m:val="p"/>
                      </m:rPr>
                      <m:t>^</m:t>
                    </m:r>
                  </m:lim>
                </m:limUpp>
              </m:e>
              <m:sub>
                <m:box>
                  <m:e>
                    <m:r>
                      <m:rPr>
                        <m:sty m:val="i"/>
                      </m:rPr>
                      <m:t>p</m:t>
                    </m:r>
                    <m:r>
                      <m:rPr>
                        <m:sty m:val="p"/>
                      </m:rPr>
                      <m:t>,</m:t>
                    </m:r>
                    <m:r>
                      <m:rPr>
                        <m:sty m:val="i"/>
                      </m:rPr>
                      <m:t>t</m:t>
                    </m:r>
                  </m:e>
                </m:box>
              </m:sub>
            </m:sSub>
            <m:r>
              <m:rPr>
                <m:sty m:val="p"/>
              </m:rPr>
              <m:t>=</m:t>
            </m:r>
            <m:rad>
              <m:e>
                <m:box>
                  <m:e>
                    <m:box>
                      <m:e>
                        <m:sSup>
                          <m:e>
                            <m:r>
                              <m:rPr>
                                <m:sty m:val="i"/>
                              </m:rPr>
                              <m:t>w</m:t>
                            </m:r>
                          </m:e>
                          <m:sup>
                            <m:r>
                              <m:rPr>
                                <m:sty m:val="p"/>
                              </m:rPr>
                              <m:t>⊤</m:t>
                            </m:r>
                          </m:sup>
                        </m:sSup>
                        <m:sSub>
                          <m:e>
                            <m:limUpp>
                              <m:e>
                                <m:box>
                                  <m:e>
                                    <m:r>
                                      <m:rPr>
                                        <m:sty m:val="i"/>
                                      </m:rPr>
                                      <m:t>Σ</m:t>
                                    </m:r>
                                  </m:e>
                                </m:box>
                              </m:e>
                              <m:lim>
                                <m:r>
                                  <m:rPr>
                                    <m:sty m:val="p"/>
                                  </m:rPr>
                                  <m:t>^</m:t>
                                </m:r>
                              </m:lim>
                            </m:limUpp>
                          </m:e>
                          <m:sub>
                            <m:r>
                              <m:rPr>
                                <m:sty m:val="i"/>
                              </m:rPr>
                              <m:t>t</m:t>
                            </m:r>
                          </m:sub>
                        </m:sSub>
                        <m:r>
                          <m:rPr>
                            <m:sty m:val="i"/>
                          </m:rPr>
                          <m:t>w</m:t>
                        </m:r>
                      </m:e>
                    </m:box>
                  </m:e>
                </m:box>
              </m:e>
            </m:rad>
          </m:e>
        </m:box>
      </m:oMathPara>
    </w:p>
    <w:p>
      <w:pPr>
        <w:spacing w:before="0" w:after="60" w:line="360" w:lineRule="auto"/>
        <w:ind w:firstLine="480"/>
      </w:pPr>
      <w:r>
        <w:rPr>
          <w:rFonts w:ascii="Times New Roman" w:hAnsi="Times New Roman" w:eastAsia="宋体"/>
          <w:b w:val="0"/>
          <w:i w:val="0"/>
          <w:sz w:val="24"/>
        </w:rPr>
        <w:t>其中 Σ̂_t 用过去250个交易日的协方差矩阵估计。</w:t>
      </w:r>
    </w:p>
    <w:p>
      <w:pPr>
        <w:spacing w:before="0" w:after="60" w:line="360" w:lineRule="auto"/>
        <w:ind w:firstLine="480"/>
      </w:pPr>
      <w:r>
        <w:rPr>
          <w:rFonts w:ascii="Times New Roman" w:hAnsi="Times New Roman" w:eastAsia="宋体"/>
          <w:b/>
          <w:i w:val="0"/>
          <w:sz w:val="24"/>
        </w:rPr>
        <w:t>第二层（日度，回撤控制）：</w:t>
      </w:r>
    </w:p>
    <w:p>
      <w:pPr>
        <w:spacing w:before="0" w:after="60" w:line="360" w:lineRule="auto"/>
        <w:ind w:firstLine="480"/>
      </w:pPr>
      <w:r>
        <w:rPr>
          <w:rFonts w:ascii="Times New Roman" w:hAnsi="Times New Roman" w:eastAsia="宋体"/>
          <w:b w:val="0"/>
          <w:i w:val="0"/>
          <w:sz w:val="24"/>
        </w:rPr>
        <w:t>每日计算组合水下深度 D_t，按滞回（hysteresis）规则确定档位：</w:t>
      </w:r>
    </w:p>
    <w:p>
      <w:pPr>
        <w:spacing w:before="0" w:after="60" w:line="360" w:lineRule="auto"/>
        <w:ind w:firstLine="480"/>
      </w:pPr>
      <w:r>
        <w:rPr>
          <w:rFonts w:ascii="Times New Roman" w:hAnsi="Times New Roman" w:eastAsia="宋体"/>
          <w:b w:val="0"/>
          <w:i w:val="0"/>
          <w:sz w:val="24"/>
        </w:rPr>
        <w:t>| 档位 | 触发（D_t ≤） | 退出（D_t &gt;） | 仓位乘子 φ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1 | −1.5% | −0.5% | 0.70 |</w:t>
      </w:r>
    </w:p>
    <w:p>
      <w:pPr>
        <w:spacing w:before="0" w:after="60" w:line="360" w:lineRule="auto"/>
        <w:ind w:firstLine="480"/>
      </w:pPr>
      <w:r>
        <w:rPr>
          <w:rFonts w:ascii="Times New Roman" w:hAnsi="Times New Roman" w:eastAsia="宋体"/>
          <w:b w:val="0"/>
          <w:i w:val="0"/>
          <w:sz w:val="24"/>
        </w:rPr>
        <w:t>| 2 | −2.5% | −1.0% | 0.40 |</w:t>
      </w:r>
    </w:p>
    <w:p>
      <w:pPr>
        <w:spacing w:before="0" w:after="60" w:line="360" w:lineRule="auto"/>
        <w:ind w:firstLine="480"/>
      </w:pPr>
      <w:r>
        <w:rPr>
          <w:rFonts w:ascii="Times New Roman" w:hAnsi="Times New Roman" w:eastAsia="宋体"/>
          <w:b w:val="0"/>
          <w:i w:val="0"/>
          <w:sz w:val="24"/>
        </w:rPr>
        <w:t>| 3 | −3.5% | −1.8% | 0.15 |</w:t>
      </w:r>
    </w:p>
    <w:p>
      <w:pPr>
        <w:spacing w:before="0" w:after="60" w:line="360" w:lineRule="auto"/>
        <w:ind w:firstLine="480"/>
      </w:pPr>
      <w:r>
        <w:rPr>
          <w:rFonts w:ascii="Times New Roman" w:hAnsi="Times New Roman" w:eastAsia="宋体"/>
          <w:b w:val="0"/>
          <w:i w:val="0"/>
          <w:sz w:val="24"/>
        </w:rPr>
        <w:t>采用</w:t>
      </w:r>
      <w:r>
        <w:rPr>
          <w:rFonts w:ascii="Times New Roman" w:hAnsi="Times New Roman" w:eastAsia="宋体"/>
          <w:b/>
          <w:i w:val="0"/>
          <w:sz w:val="24"/>
        </w:rPr>
        <w:t>不同的进/出阈值</w:t>
      </w:r>
      <w:r>
        <w:rPr>
          <w:rFonts w:ascii="Times New Roman" w:hAnsi="Times New Roman" w:eastAsia="宋体"/>
          <w:b w:val="0"/>
          <w:i w:val="0"/>
          <w:sz w:val="24"/>
        </w:rPr>
        <w:t>是关键的工程细节：若进出阈值相同，策略会在阈值附近反复横跳，产生大量无效换手。这一"滞回带"设计在实务中被广泛采用，但学术文献鲜有明确报告。</w:t>
      </w:r>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：e_t = E_t · φ_t，其余配置于国债ETF，现金恒定5%。</w:t>
      </w:r>
    </w:p>
    <w:p>
      <w:pPr>
        <w:spacing w:before="240" w:after="100" w:line="360" w:lineRule="auto"/>
      </w:pPr>
      <w:r>
        <w:rPr>
          <w:rFonts w:ascii="Times New Roman" w:hAnsi="Times New Roman" w:eastAsia="黑体"/>
          <w:b/>
          <w:i w:val="0"/>
          <w:sz w:val="26"/>
        </w:rPr>
        <w:t>3.4 数据处理：两个必须报告的陷阱</w:t>
      </w:r>
    </w:p>
    <w:p>
      <w:pPr>
        <w:spacing w:before="0" w:after="60" w:line="360" w:lineRule="auto"/>
        <w:ind w:firstLine="480"/>
      </w:pPr>
      <w:r>
        <w:rPr>
          <w:rFonts w:ascii="Times New Roman" w:hAnsi="Times New Roman" w:eastAsia="宋体"/>
          <w:b/>
          <w:i w:val="0"/>
          <w:sz w:val="24"/>
        </w:rPr>
        <w:t>陷阱一：份额折算造成的假跳变。</w:t>
      </w:r>
      <w:r>
        <w:rPr>
          <w:rFonts w:ascii="Times New Roman" w:hAnsi="Times New Roman" w:eastAsia="宋体"/>
          <w:b w:val="0"/>
          <w:i w:val="0"/>
          <w:sz w:val="24"/>
        </w:rPr>
        <w:t xml:space="preserve"> 场内ETF的份额折算（拆分或合并）会在价格序列中产生巨大的假跳变。本文扫描发现：纳斯达克100 ETF（513100）在2022-01-14出现单日−80.45%，中证500 ETF（510500）在2015-04-15出现单日+248.55%。若不校正，纳指ETF的回测年化将从真实的21.03%被</w:t>
      </w:r>
      <w:r>
        <w:rPr>
          <w:rFonts w:ascii="Times New Roman" w:hAnsi="Times New Roman" w:eastAsia="宋体"/>
          <w:b/>
          <w:i w:val="0"/>
          <w:sz w:val="24"/>
        </w:rPr>
        <w:t>低估至6.68%</w:t>
      </w:r>
      <w:r>
        <w:rPr>
          <w:rFonts w:ascii="Times New Roman" w:hAnsi="Times New Roman" w:eastAsia="宋体"/>
          <w:b w:val="0"/>
          <w:i w:val="0"/>
          <w:sz w:val="24"/>
        </w:rPr>
        <w:t>（偏差14.35个百分点），中证500 ETF则从7.62%被</w:t>
      </w:r>
      <w:r>
        <w:rPr>
          <w:rFonts w:ascii="Times New Roman" w:hAnsi="Times New Roman" w:eastAsia="宋体"/>
          <w:b/>
          <w:i w:val="0"/>
          <w:sz w:val="24"/>
        </w:rPr>
        <w:t>高估至16.42%</w:t>
      </w:r>
      <w:r>
        <w:rPr>
          <w:rFonts w:ascii="Times New Roman" w:hAnsi="Times New Roman" w:eastAsia="宋体"/>
          <w:b w:val="0"/>
          <w:i w:val="0"/>
          <w:sz w:val="24"/>
        </w:rPr>
        <w:t>。本文改用前复权序列并逐一扫描 |日收益|&gt;15% 的异常点，校正后全部资产的异常点数为0。</w:t>
      </w:r>
    </w:p>
    <w:p>
      <w:pPr>
        <w:spacing w:before="0" w:after="60" w:line="360" w:lineRule="auto"/>
        <w:ind w:firstLine="480"/>
      </w:pPr>
      <w:r>
        <w:rPr>
          <w:rFonts w:ascii="Times New Roman" w:hAnsi="Times New Roman" w:eastAsia="宋体"/>
          <w:b/>
          <w:i w:val="0"/>
          <w:sz w:val="24"/>
        </w:rPr>
        <w:t>陷阱二：前复权序列的污染。</w:t>
      </w:r>
      <w:r>
        <w:rPr>
          <w:rFonts w:ascii="Times New Roman" w:hAnsi="Times New Roman" w:eastAsia="宋体"/>
          <w:b w:val="0"/>
          <w:i w:val="0"/>
          <w:sz w:val="24"/>
        </w:rPr>
        <w:t xml:space="preserve"> 红利ETF（510880）在部分数据源的前复权序列中，因份额折算与分红的复合作用，2013—2014年段出现单日−28%的假跌，导致"满仓红利最大回撤−67%"的荒谬结论。本文的解决方法是：取</w:t>
      </w:r>
      <w:r>
        <w:rPr>
          <w:rFonts w:ascii="Times New Roman" w:hAnsi="Times New Roman" w:eastAsia="宋体"/>
          <w:b/>
          <w:i w:val="0"/>
          <w:sz w:val="24"/>
        </w:rPr>
        <w:t>未复权的原始价格</w:t>
      </w:r>
      <w:r>
        <w:rPr>
          <w:rFonts w:ascii="Times New Roman" w:hAnsi="Times New Roman" w:eastAsia="宋体"/>
          <w:b w:val="0"/>
          <w:i w:val="0"/>
          <w:sz w:val="24"/>
        </w:rPr>
        <w:t>，叠加从天天基金 F10 页面获取的分红记录（除息日、每份金额）手工重建全收益序列。</w:t>
      </w:r>
    </w:p>
    <w:p>
      <w:pPr>
        <w:spacing w:before="240" w:after="100" w:line="360" w:lineRule="auto"/>
      </w:pPr>
      <w:r>
        <w:rPr>
          <w:rFonts w:ascii="Times New Roman" w:hAnsi="Times New Roman" w:eastAsia="黑体"/>
          <w:b/>
          <w:i w:val="0"/>
          <w:sz w:val="26"/>
        </w:rPr>
        <w:t>3.5 绩效评价指标</w:t>
      </w:r>
    </w:p>
    <w:p>
      <w:pPr>
        <w:spacing w:before="0" w:after="60" w:line="360" w:lineRule="auto"/>
        <w:ind w:firstLine="480"/>
      </w:pPr>
      <w:r>
        <w:rPr>
          <w:rFonts w:ascii="Times New Roman" w:hAnsi="Times New Roman" w:eastAsia="宋体"/>
          <w:b w:val="0"/>
          <w:i w:val="0"/>
          <w:sz w:val="24"/>
        </w:rPr>
        <w:t>年化收益、年化波动、夏普比率、最大回撤（MDD）、卡玛比率（年化/MDD）、年度胜率。所有结果均已扣除交易成本（单边万分之三，对应ETF场内交易的佣金与冲击成本），并在净值中逐日扣减。</w:t>
      </w:r>
    </w:p>
    <w:p>
      <w:pPr>
        <w:spacing w:before="0" w:after="60" w:line="360" w:lineRule="auto"/>
        <w:ind w:firstLine="480"/>
      </w:pPr>
      <w:r>
        <w:rPr>
          <w:rFonts w:ascii="Times New Roman" w:hAnsi="Times New Roman" w:eastAsia="宋体"/>
          <w:b/>
          <w:i w:val="0"/>
          <w:sz w:val="24"/>
        </w:rPr>
        <w:t>基准参数的选取说明</w:t>
      </w:r>
      <w:r>
        <w:rPr>
          <w:rFonts w:ascii="Times New Roman" w:hAnsi="Times New Roman" w:eastAsia="宋体"/>
          <w:b w:val="0"/>
          <w:i w:val="0"/>
          <w:sz w:val="24"/>
        </w:rPr>
        <w:t>：本文主结果采用目标波动 σ*=5.5%、趋势窗口 MA200、回撤控制严格档。该参数并非事先调优所得，而是第6.3节参数平原（15个邻近参数组合）中的一个内点，且在所有子样本与资产池设定下表现一致。</w:t>
      </w:r>
    </w:p>
    <w:p>
      <w:pPr>
        <w:spacing w:before="320" w:after="200" w:line="360" w:lineRule="auto"/>
        <w:jc w:val="center"/>
      </w:pPr>
      <w:r>
        <w:rPr>
          <w:rFonts w:ascii="Times New Roman" w:hAnsi="Times New Roman" w:eastAsia="黑体"/>
          <w:b/>
          <w:i w:val="0"/>
          <w:sz w:val="30"/>
        </w:rPr>
        <w:t>四、实证结果</w:t>
      </w:r>
    </w:p>
    <w:p>
      <w:pPr>
        <w:spacing w:before="240" w:after="100" w:line="360" w:lineRule="auto"/>
      </w:pPr>
      <w:r>
        <w:rPr>
          <w:rFonts w:ascii="Times New Roman" w:hAnsi="Times New Roman" w:eastAsia="黑体"/>
          <w:b/>
          <w:i w:val="0"/>
          <w:sz w:val="26"/>
        </w:rPr>
        <w:t>4.1 基准结果：策略是否优于单一资产</w:t>
      </w:r>
    </w:p>
    <w:p>
      <w:pPr>
        <w:spacing w:before="0" w:after="60" w:line="360" w:lineRule="auto"/>
        <w:ind w:firstLine="480"/>
      </w:pPr>
      <w:r>
        <w:rPr>
          <w:rFonts w:ascii="Times New Roman" w:hAnsi="Times New Roman" w:eastAsia="宋体"/>
          <w:b w:val="0"/>
          <w:i w:val="0"/>
          <w:sz w:val="24"/>
        </w:rPr>
        <w:t>表1报告本文策略（σ*=5.5%，启用回撤控制）与各类基准的绩效对比。样本区间2013-08-01至2026-10-20，所有结果已扣除交易成本。</w:t>
      </w:r>
    </w:p>
    <w:p>
      <w:pPr>
        <w:spacing w:before="200" w:after="60" w:line="276" w:lineRule="auto"/>
        <w:jc w:val="center"/>
      </w:pPr>
      <w:r>
        <w:rPr>
          <w:rFonts w:ascii="Times New Roman" w:hAnsi="Times New Roman" w:eastAsia="黑体"/>
          <w:b/>
          <w:i w:val="0"/>
          <w:sz w:val="21"/>
        </w:rPr>
        <w:t>表1　绩效对比（2013-08 至 2026-10，已扣交易成本）</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资产/策略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最大回撤%</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夏普</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卡玛</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年胜率%</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本文策略（σ=5.5%, DC开）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85.7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满仓纳指ETF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21.58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92.9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满仓红利ETF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71.4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满仓黄金ETF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71.4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满仓中证500ETF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28.07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满仓沪深300ETF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60债/40沪深300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−19.08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57.1</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满仓国债ETF</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3.10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2.39</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−4.92</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1.30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0.63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85.7</w:t>
            </w:r>
          </w:p>
        </w:tc>
      </w:tr>
    </w:tbl>
    <w:p>
      <w:pPr>
        <w:spacing w:before="0" w:after="60" w:line="360" w:lineRule="auto"/>
        <w:ind w:firstLine="480"/>
      </w:pPr>
      <w:r>
        <w:rPr>
          <w:rFonts w:ascii="Times New Roman" w:hAnsi="Times New Roman" w:eastAsia="宋体"/>
          <w:b w:val="0"/>
          <w:i w:val="0"/>
          <w:sz w:val="24"/>
        </w:rPr>
        <w:t>三个观察值得强调。</w:t>
      </w:r>
    </w:p>
    <w:p>
      <w:pPr>
        <w:spacing w:before="0" w:after="60" w:line="360" w:lineRule="auto"/>
        <w:ind w:firstLine="480"/>
      </w:pPr>
      <w:r>
        <w:rPr>
          <w:rFonts w:ascii="Times New Roman" w:hAnsi="Times New Roman" w:eastAsia="宋体"/>
          <w:b/>
          <w:i w:val="0"/>
          <w:sz w:val="24"/>
        </w:rPr>
        <w:t>第一，夏普比率的全面超越。</w:t>
      </w:r>
      <w:r>
        <w:rPr>
          <w:rFonts w:ascii="Times New Roman" w:hAnsi="Times New Roman" w:eastAsia="宋体"/>
          <w:b w:val="0"/>
          <w:i w:val="0"/>
          <w:sz w:val="24"/>
        </w:rPr>
        <w:t xml:space="preserve"> 策略夏普比率1.43高于表中</w:t>
      </w:r>
      <w:r>
        <w:rPr>
          <w:rFonts w:ascii="Times New Roman" w:hAnsi="Times New Roman" w:eastAsia="宋体"/>
          <w:b/>
          <w:i w:val="0"/>
          <w:sz w:val="24"/>
        </w:rPr>
        <w:t>所有</w:t>
      </w:r>
      <w:r>
        <w:rPr>
          <w:rFonts w:ascii="Times New Roman" w:hAnsi="Times New Roman" w:eastAsia="宋体"/>
          <w:b w:val="0"/>
          <w:i w:val="0"/>
          <w:sz w:val="24"/>
        </w:rPr>
        <w:t>单一资产与静态组合，包括样本内表现最强的纳指ETF（0.98）与风险调整后表现最优的国债ETF（1.30）。这一比较的意义在于：策略并非通过押注某个幸运资产取胜——第6.1节的剔除检验证实，移除纳指ETF后策略年化收益不变（6.47%）而夏普升至1.45。</w:t>
      </w:r>
    </w:p>
    <w:p>
      <w:pPr>
        <w:spacing w:before="0" w:after="60" w:line="360" w:lineRule="auto"/>
        <w:ind w:firstLine="480"/>
      </w:pPr>
      <w:r>
        <w:rPr>
          <w:rFonts w:ascii="Times New Roman" w:hAnsi="Times New Roman" w:eastAsia="宋体"/>
          <w:b/>
          <w:i w:val="0"/>
          <w:sz w:val="24"/>
        </w:rPr>
        <w:t>第二，回撤压缩的数量级。</w:t>
      </w:r>
      <w:r>
        <w:rPr>
          <w:rFonts w:ascii="Times New Roman" w:hAnsi="Times New Roman" w:eastAsia="宋体"/>
          <w:b w:val="0"/>
          <w:i w:val="0"/>
          <w:sz w:val="24"/>
        </w:rPr>
        <w:t xml:space="preserve"> 策略将沪深300ETF的−45.44%最大回撤压缩至−4.15%，压缩倍数达10.9倍；年化波动从22.16%降至4.52%。这一压缩并非来自预测能力，而是来自"不在场的时候真的不在场"。</w:t>
      </w:r>
    </w:p>
    <w:p>
      <w:pPr>
        <w:spacing w:before="0" w:after="60" w:line="360" w:lineRule="auto"/>
        <w:ind w:firstLine="480"/>
      </w:pPr>
      <w:r>
        <w:rPr>
          <w:rFonts w:ascii="Times New Roman" w:hAnsi="Times New Roman" w:eastAsia="宋体"/>
          <w:b/>
          <w:i w:val="0"/>
          <w:sz w:val="24"/>
        </w:rPr>
        <w:t>第三，收益的代价。</w:t>
      </w:r>
      <w:r>
        <w:rPr>
          <w:rFonts w:ascii="Times New Roman" w:hAnsi="Times New Roman" w:eastAsia="宋体"/>
          <w:b w:val="0"/>
          <w:i w:val="0"/>
          <w:sz w:val="24"/>
        </w:rPr>
        <w:t xml:space="preserve"> 策略年化6.47%低于满仓纳指（21.13%）与满仓红利（9.99%）。这是低波动策略的必然代价，也是本文不回避的事实。</w:t>
      </w:r>
    </w:p>
    <w:p>
      <w:pPr>
        <w:spacing w:before="200" w:after="60" w:line="276" w:lineRule="auto"/>
        <w:jc w:val="center"/>
      </w:pPr>
      <w:r>
        <w:rPr>
          <w:rFonts w:ascii="Times New Roman" w:hAnsi="Times New Roman" w:eastAsia="黑体"/>
          <w:b/>
          <w:i w:val="0"/>
          <w:sz w:val="21"/>
        </w:rPr>
        <w:t>表2　分年度收益与超额（%）</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27.21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−20.17</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18.00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−21.63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+20.03</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+15.34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+14.70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21.78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−16.50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14.42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−25.31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+30.93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−12.17</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2019</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7.47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36.07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−28.60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2026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−10.32</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+11.48</w:t>
            </w:r>
          </w:p>
        </w:tc>
      </w:tr>
    </w:tbl>
    <w:p>
      <w:pPr>
        <w:spacing w:before="0" w:after="60" w:line="360" w:lineRule="auto"/>
        <w:ind w:firstLine="480"/>
      </w:pPr>
      <w:r>
        <w:rPr>
          <w:rFonts w:ascii="Times New Roman" w:hAnsi="Times New Roman" w:eastAsia="宋体"/>
          <w:b w:val="0"/>
          <w:i w:val="0"/>
          <w:sz w:val="24"/>
        </w:rPr>
        <w:t>*2013年为半年度（8月起）；*</w:t>
      </w:r>
      <w:r>
        <w:rPr>
          <w:rFonts w:ascii="Times New Roman" w:hAnsi="Times New Roman" w:eastAsia="宋体"/>
          <w:b w:val="0"/>
          <w:i w:val="0"/>
          <w:sz w:val="24"/>
        </w:rPr>
        <w:t>*2026年为年初至10月20日。</w:t>
      </w:r>
    </w:p>
    <w:p>
      <w:pPr>
        <w:spacing w:before="0" w:after="60" w:line="360" w:lineRule="auto"/>
        <w:ind w:firstLine="480"/>
      </w:pPr>
      <w:r>
        <w:rPr>
          <w:rFonts w:ascii="Times New Roman" w:hAnsi="Times New Roman" w:eastAsia="宋体"/>
          <w:b w:val="0"/>
          <w:i w:val="0"/>
          <w:sz w:val="24"/>
        </w:rPr>
        <w:t>分年度数据揭示了策略收益的来源结构。在沪深300</w:t>
      </w:r>
      <w:r>
        <w:rPr>
          <w:rFonts w:ascii="Times New Roman" w:hAnsi="Times New Roman" w:eastAsia="宋体"/>
          <w:b/>
          <w:i w:val="0"/>
          <w:sz w:val="24"/>
        </w:rPr>
        <w:t>下跌的7个年份</w:t>
      </w:r>
      <w:r>
        <w:rPr>
          <w:rFonts w:ascii="Times New Roman" w:hAnsi="Times New Roman" w:eastAsia="宋体"/>
          <w:b w:val="0"/>
          <w:i w:val="0"/>
          <w:sz w:val="24"/>
        </w:rPr>
        <w:t>（2013、2016、2018、2021、2022、2023、2026）中，策略</w:t>
      </w:r>
      <w:r>
        <w:rPr>
          <w:rFonts w:ascii="Times New Roman" w:hAnsi="Times New Roman" w:eastAsia="宋体"/>
          <w:b/>
          <w:i w:val="0"/>
          <w:sz w:val="24"/>
        </w:rPr>
        <w:t>7年全部跑赢</w:t>
      </w:r>
      <w:r>
        <w:rPr>
          <w:rFonts w:ascii="Times New Roman" w:hAnsi="Times New Roman" w:eastAsia="宋体"/>
          <w:b w:val="0"/>
          <w:i w:val="0"/>
          <w:sz w:val="24"/>
        </w:rPr>
        <w:t>，其中6年取得正绝对收益（唯一例外是2022年的−1.60%，同期沪深300为−21.63%）。相反，在2014、2017、2019、2020、2024、2025六个强势年份，策略均跑输。</w:t>
      </w:r>
    </w:p>
    <w:p>
      <w:pPr>
        <w:spacing w:before="0" w:after="60" w:line="360" w:lineRule="auto"/>
        <w:ind w:firstLine="480"/>
      </w:pPr>
      <w:r>
        <w:rPr>
          <w:rFonts w:ascii="Times New Roman" w:hAnsi="Times New Roman" w:eastAsia="宋体"/>
          <w:b w:val="0"/>
          <w:i w:val="0"/>
          <w:sz w:val="24"/>
        </w:rPr>
        <w:t>这一"熊市赢、牛市输"的形态是低波动策略的本质特征，也是回撤控制的对价。对以绝对收益为目标的资金而言这种形态可接受；对以相对排名考核的资金则不然。</w:t>
      </w:r>
    </w:p>
    <w:p>
      <w:pPr>
        <w:spacing w:before="240" w:after="100" w:line="360" w:lineRule="auto"/>
      </w:pPr>
      <w:r>
        <w:rPr>
          <w:rFonts w:ascii="Times New Roman" w:hAnsi="Times New Roman" w:eastAsia="黑体"/>
          <w:b/>
          <w:i w:val="0"/>
          <w:sz w:val="26"/>
        </w:rPr>
        <w:t>4.2 核心发现：前沿形状的分岔</w:t>
      </w:r>
    </w:p>
    <w:p>
      <w:pPr>
        <w:spacing w:before="0" w:after="60" w:line="360" w:lineRule="auto"/>
        <w:ind w:firstLine="480"/>
      </w:pPr>
      <w:r>
        <w:rPr>
          <w:rFonts w:ascii="Times New Roman" w:hAnsi="Times New Roman" w:eastAsia="宋体"/>
          <w:b w:val="0"/>
          <w:i w:val="0"/>
          <w:sz w:val="24"/>
        </w:rPr>
        <w:t>表3报告本文的核心发现。我们对8个目标波动水平（3%—12%）分别运行完整回测，并在启用与关闭回撤控制两种情形下比较。</w:t>
      </w:r>
    </w:p>
    <w:p>
      <w:pPr>
        <w:spacing w:before="200" w:after="60" w:line="276" w:lineRule="auto"/>
        <w:jc w:val="center"/>
      </w:pPr>
      <w:r>
        <w:rPr>
          <w:rFonts w:ascii="Times New Roman" w:hAnsi="Times New Roman" w:eastAsia="黑体"/>
          <w:b/>
          <w:i w:val="0"/>
          <w:sz w:val="21"/>
        </w:rPr>
        <w:t>表3　收益-风险前沿：回撤控制开关的对比</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目标波动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DC关：MDD%</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DC开：MDD%</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−4.08</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−5.89</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12.0%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11.92</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−17.96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−6.06</w:t>
            </w:r>
          </w:p>
        </w:tc>
      </w:tr>
    </w:tbl>
    <w:p>
      <w:pPr>
        <w:spacing w:before="0" w:after="60" w:line="360" w:lineRule="auto"/>
        <w:ind w:firstLine="480"/>
      </w:pPr>
      <w:r>
        <w:rPr>
          <w:rFonts w:ascii="Times New Roman" w:hAnsi="Times New Roman" w:eastAsia="宋体"/>
          <w:b/>
          <w:i w:val="0"/>
          <w:sz w:val="24"/>
        </w:rPr>
        <w:t>前沿形状的分岔极其清晰</w:t>
      </w:r>
      <w:r>
        <w:rPr>
          <w:rFonts w:ascii="Times New Roman" w:hAnsi="Times New Roman" w:eastAsia="宋体"/>
          <w:b w:val="0"/>
          <w:i w:val="0"/>
          <w:sz w:val="24"/>
        </w:rPr>
        <w:t>：</w:t>
      </w:r>
    </w:p>
    <w:p>
      <w:pPr>
        <w:spacing w:before="40" w:after="40" w:line="336" w:lineRule="auto"/>
        <w:ind w:left="480"/>
      </w:pPr>
      <w:r>
        <w:rPr>
          <w:rFonts w:ascii="Times New Roman" w:hAnsi="Times New Roman" w:eastAsia="宋体"/>
          <w:b/>
          <w:i w:val="0"/>
          <w:sz w:val="24"/>
        </w:rPr>
        <w:t>关闭回撤控制时</w:t>
      </w:r>
      <w:r>
        <w:rPr>
          <w:rFonts w:ascii="Times New Roman" w:hAnsi="Times New Roman" w:eastAsia="宋体"/>
          <w:b w:val="0"/>
          <w:i w:val="0"/>
          <w:sz w:val="24"/>
        </w:rPr>
        <w:t>，年化收益随目标波动</w:t>
      </w:r>
      <w:r>
        <w:rPr>
          <w:rFonts w:ascii="Times New Roman" w:hAnsi="Times New Roman" w:eastAsia="宋体"/>
          <w:b/>
          <w:i w:val="0"/>
          <w:sz w:val="24"/>
        </w:rPr>
        <w:t>单调递增</w:t>
      </w:r>
      <w:r>
        <w:rPr>
          <w:rFonts w:ascii="Times New Roman" w:hAnsi="Times New Roman" w:eastAsia="宋体"/>
          <w:b w:val="0"/>
          <w:i w:val="0"/>
          <w:sz w:val="24"/>
        </w:rPr>
        <w:t>，从5.48%（σ</w:t>
      </w:r>
      <w:r>
        <w:rPr>
          <w:rFonts w:ascii="Times New Roman" w:hAnsi="Times New Roman" w:eastAsia="宋体"/>
          <w:b w:val="0"/>
          <w:i w:val="0"/>
          <w:sz w:val="24"/>
        </w:rPr>
        <w:t>*=3%）升至11.28%（σ*</w:t>
      </w:r>
      <w:r>
        <w:rPr>
          <w:rFonts w:ascii="Times New Roman" w:hAnsi="Times New Roman" w:eastAsia="宋体"/>
          <w:b w:val="0"/>
          <w:i w:val="0"/>
          <w:sz w:val="24"/>
        </w:rPr>
        <w:t>=12%），代价是最大回撤同步从−4.14%扩大至−17.96%。这是标准的风险-收益权衡，符合经典理论预期。</w:t>
      </w:r>
    </w:p>
    <w:p>
      <w:pPr>
        <w:spacing w:before="40" w:after="40" w:line="336" w:lineRule="auto"/>
        <w:ind w:left="480"/>
      </w:pPr>
      <w:r>
        <w:rPr>
          <w:rFonts w:ascii="Times New Roman" w:hAnsi="Times New Roman" w:eastAsia="宋体"/>
          <w:b/>
          <w:i w:val="0"/>
          <w:sz w:val="24"/>
        </w:rPr>
        <w:t>启用回撤控制时</w:t>
      </w:r>
      <w:r>
        <w:rPr>
          <w:rFonts w:ascii="Times New Roman" w:hAnsi="Times New Roman" w:eastAsia="宋体"/>
          <w:b w:val="0"/>
          <w:i w:val="0"/>
          <w:sz w:val="24"/>
        </w:rPr>
        <w:t>，年化收益呈</w:t>
      </w:r>
      <w:r>
        <w:rPr>
          <w:rFonts w:ascii="Times New Roman" w:hAnsi="Times New Roman" w:eastAsia="宋体"/>
          <w:b/>
          <w:i w:val="0"/>
          <w:sz w:val="24"/>
        </w:rPr>
        <w:t>单峰形态</w:t>
      </w:r>
      <w:r>
        <w:rPr>
          <w:rFonts w:ascii="Times New Roman" w:hAnsi="Times New Roman" w:eastAsia="宋体"/>
          <w:b w:val="0"/>
          <w:i w:val="0"/>
          <w:sz w:val="24"/>
        </w:rPr>
        <w:t>：从5.09%升至6.47%（σ</w:t>
      </w:r>
      <w:r>
        <w:rPr>
          <w:rFonts w:ascii="Times New Roman" w:hAnsi="Times New Roman" w:eastAsia="宋体"/>
          <w:b w:val="0"/>
          <w:i w:val="0"/>
          <w:sz w:val="24"/>
        </w:rPr>
        <w:t>*=5.5%）后回落，至σ*</w:t>
      </w:r>
      <w:r>
        <w:rPr>
          <w:rFonts w:ascii="Times New Roman" w:hAnsi="Times New Roman" w:eastAsia="宋体"/>
          <w:b w:val="0"/>
          <w:i w:val="0"/>
          <w:sz w:val="24"/>
        </w:rPr>
        <w:t>=12%时降至5.37%——</w:t>
      </w:r>
      <w:r>
        <w:rPr>
          <w:rFonts w:ascii="Times New Roman" w:hAnsi="Times New Roman" w:eastAsia="宋体"/>
          <w:b/>
          <w:i w:val="0"/>
          <w:sz w:val="24"/>
        </w:rPr>
        <w:t>低于</w:t>
      </w:r>
      <w:r>
        <w:rPr>
          <w:rFonts w:ascii="Times New Roman" w:hAnsi="Times New Roman" w:eastAsia="宋体"/>
          <w:b w:val="0"/>
          <w:i w:val="0"/>
          <w:sz w:val="24"/>
        </w:rPr>
        <w:t>σ</w:t>
      </w:r>
      <w:r>
        <w:rPr>
          <w:rFonts w:ascii="Times New Roman" w:hAnsi="Times New Roman" w:eastAsia="宋体"/>
          <w:b w:val="0"/>
          <w:i w:val="0"/>
          <w:sz w:val="24"/>
        </w:rPr>
        <w:t>*=3%时的5.09%。换言之，在σ*</w:t>
      </w:r>
      <w:r>
        <w:rPr>
          <w:rFonts w:ascii="Times New Roman" w:hAnsi="Times New Roman" w:eastAsia="宋体"/>
          <w:b w:val="0"/>
          <w:i w:val="0"/>
          <w:sz w:val="24"/>
        </w:rPr>
        <w:t>=5.5%之后，投资者承担了更高的目标风险，却获得了</w:t>
      </w:r>
      <w:r>
        <w:rPr>
          <w:rFonts w:ascii="Times New Roman" w:hAnsi="Times New Roman" w:eastAsia="宋体"/>
          <w:b/>
          <w:i w:val="0"/>
          <w:sz w:val="24"/>
        </w:rPr>
        <w:t>更低</w:t>
      </w:r>
      <w:r>
        <w:rPr>
          <w:rFonts w:ascii="Times New Roman" w:hAnsi="Times New Roman" w:eastAsia="宋体"/>
          <w:b w:val="0"/>
          <w:i w:val="0"/>
          <w:sz w:val="24"/>
        </w:rPr>
        <w:t>的收益。</w:t>
      </w:r>
    </w:p>
    <w:p>
      <w:pPr>
        <w:spacing w:before="40" w:after="40" w:line="336" w:lineRule="auto"/>
        <w:ind w:left="480"/>
      </w:pPr>
      <w:r>
        <w:rPr>
          <w:rFonts w:ascii="Times New Roman" w:hAnsi="Times New Roman" w:eastAsia="宋体"/>
          <w:b w:val="0"/>
          <w:i w:val="0"/>
          <w:sz w:val="24"/>
        </w:rPr>
        <w:t>同时，回撤控制将最大回撤"封顶"在−4.08%至−6.06%的窄区间内，不再随目标波动同步扩大。这看似是优点，实则正是问题所在：</w:t>
      </w:r>
      <w:r>
        <w:rPr>
          <w:rFonts w:ascii="Times New Roman" w:hAnsi="Times New Roman" w:eastAsia="宋体"/>
          <w:b/>
          <w:i w:val="0"/>
          <w:sz w:val="24"/>
        </w:rPr>
        <w:t>回撤约束被硬绑定后，风险预算的边际收益归零</w:t>
      </w:r>
      <w:r>
        <w:rPr>
          <w:rFonts w:ascii="Times New Roman" w:hAnsi="Times New Roman" w:eastAsia="宋体"/>
          <w:b w:val="0"/>
          <w:i w:val="0"/>
          <w:sz w:val="24"/>
        </w:rPr>
        <w:t>。</w:t>
      </w:r>
    </w:p>
    <w:p>
      <w:pPr>
        <w:spacing w:before="200" w:after="60" w:line="240" w:lineRule="auto"/>
        <w:jc w:val="center"/>
      </w:pPr>
      <w:r>
        <w:drawing>
          <wp:inline xmlns:a="http://schemas.openxmlformats.org/drawingml/2006/main" xmlns:pic="http://schemas.openxmlformats.org/drawingml/2006/picture">
            <wp:extent cx="5277600" cy="2058293"/>
            <wp:docPr id="1" name="Picture 1"/>
            <wp:cNvGraphicFramePr>
              <a:graphicFrameLocks noChangeAspect="1"/>
            </wp:cNvGraphicFramePr>
            <a:graphic>
              <a:graphicData uri="http://schemas.openxmlformats.org/drawingml/2006/picture">
                <pic:pic>
                  <pic:nvPicPr>
                    <pic:cNvPr id="0" name="docx_fig1.png"/>
                    <pic:cNvPicPr/>
                  </pic:nvPicPr>
                  <pic:blipFill>
                    <a:blip r:embed="rId11"/>
                    <a:stretch>
                      <a:fillRect/>
                    </a:stretch>
                  </pic:blipFill>
                  <pic:spPr>
                    <a:xfrm>
                      <a:off x="0" y="0"/>
                      <a:ext cx="5277600" cy="2058293"/>
                    </a:xfrm>
                    <a:prstGeom prst="rect"/>
                  </pic:spPr>
                </pic:pic>
              </a:graphicData>
            </a:graphic>
          </wp:inline>
        </w:drawing>
      </w:r>
    </w:p>
    <w:p>
      <w:pPr>
        <w:spacing w:before="40" w:after="200" w:line="276" w:lineRule="auto"/>
        <w:jc w:val="center"/>
      </w:pPr>
      <w:r>
        <w:rPr>
          <w:rFonts w:ascii="Times New Roman" w:hAnsi="Times New Roman" w:eastAsia="黑体"/>
          <w:b/>
          <w:i w:val="0"/>
          <w:sz w:val="21"/>
        </w:rPr>
        <w:t>图1　两种约束集下的有效前沿（圈注：单峰顶点）</w:t>
      </w:r>
    </w:p>
    <w:p>
      <w:pPr>
        <w:spacing w:before="0" w:after="60" w:line="360" w:lineRule="auto"/>
        <w:ind w:firstLine="480"/>
      </w:pPr>
      <w:r>
        <w:rPr>
          <w:rFonts w:ascii="Times New Roman" w:hAnsi="Times New Roman" w:eastAsia="宋体"/>
          <w:b w:val="0"/>
          <w:i w:val="0"/>
          <w:sz w:val="24"/>
        </w:rPr>
        <w:t>这一分岔直接支持假说H1。其经济含义是：回撤控制并非"免费"的风险削减，它改变了整个前沿的形状，使得"提高风险预算以换取收益"这一基本操作在超过阈值后失效。</w:t>
      </w:r>
    </w:p>
    <w:p>
      <w:pPr>
        <w:spacing w:before="240" w:after="100" w:line="360" w:lineRule="auto"/>
      </w:pPr>
      <w:r>
        <w:rPr>
          <w:rFonts w:ascii="Times New Roman" w:hAnsi="Times New Roman" w:eastAsia="黑体"/>
          <w:b/>
          <w:i w:val="0"/>
          <w:sz w:val="26"/>
        </w:rPr>
        <w:t>4.3 交互效应的回归检验</w:t>
      </w:r>
    </w:p>
    <w:p>
      <w:pPr>
        <w:spacing w:before="0" w:after="60" w:line="360" w:lineRule="auto"/>
        <w:ind w:firstLine="480"/>
      </w:pPr>
      <w:r>
        <w:rPr>
          <w:rFonts w:ascii="Times New Roman" w:hAnsi="Times New Roman" w:eastAsia="宋体"/>
          <w:b w:val="0"/>
          <w:i w:val="0"/>
          <w:sz w:val="24"/>
        </w:rPr>
        <w:t>为量化交互效应，我们以16个（σ*, DC）组合的年化收益为被解释变量，估计交互项模型：</w:t>
      </w:r>
    </w:p>
    <w:p>
      <w:pPr>
        <w:spacing w:before="160" w:after="160" w:line="240" w:lineRule="auto"/>
        <w:jc w:val="center"/>
      </w:pPr>
      <m:oMathPara>
        <m:box>
          <m:e>
            <m:r>
              <m:rPr>
                <m:sty m:val="i"/>
              </m:rPr>
              <m:t>R</m:t>
            </m:r>
            <m:r>
              <m:rPr>
                <m:sty m:val="i"/>
              </m:rPr>
              <m:t>e</m:t>
            </m:r>
            <m:r>
              <m:rPr>
                <m:sty m:val="i"/>
              </m:rPr>
              <m:t>t</m:t>
            </m:r>
            <m:r>
              <m:rPr>
                <m:sty m:val="i"/>
              </m:rPr>
              <m:t>u</m:t>
            </m:r>
            <m:r>
              <m:rPr>
                <m:sty m:val="i"/>
              </m:rPr>
              <m:t>r</m:t>
            </m:r>
            <m:sSub>
              <m:e>
                <m:r>
                  <m:rPr>
                    <m:sty m:val="i"/>
                  </m:rPr>
                  <m:t>n</m:t>
                </m:r>
              </m:e>
              <m:sub>
                <m:r>
                  <m:rPr>
                    <m:sty m:val="i"/>
                  </m:rPr>
                  <m:t>i</m:t>
                </m:r>
              </m:sub>
            </m:sSub>
            <m:r>
              <m:rPr>
                <m:sty m:val="p"/>
              </m:rPr>
              <m:t>=</m:t>
            </m:r>
            <m:r>
              <m:rPr>
                <m:sty m:val="i"/>
              </m:rPr>
              <m:t>α</m:t>
            </m:r>
            <m:r>
              <m:rPr>
                <m:sty m:val="p"/>
              </m:rPr>
              <m:t>+</m:t>
            </m:r>
            <m:sSub>
              <m:e>
                <m:r>
                  <m:rPr>
                    <m:sty m:val="i"/>
                  </m:rPr>
                  <m:t>β</m:t>
                </m:r>
              </m:e>
              <m:sub>
                <m:r>
                  <m:rPr>
                    <m:sty m:val="p"/>
                  </m:rPr>
                  <m:t>1</m:t>
                </m:r>
              </m:sub>
            </m:sSub>
            <m:sSubSup>
              <m:e>
                <m:r>
                  <m:rPr>
                    <m:sty m:val="i"/>
                  </m:rPr>
                  <m:t>σ</m:t>
                </m:r>
              </m:e>
              <m:sub>
                <m:box>
                  <m:e>
                    <m:r>
                      <m:rPr>
                        <m:sty m:val="i"/>
                      </m:rPr>
                      <m:t>i</m:t>
                    </m:r>
                  </m:e>
                </m:box>
              </m:sub>
              <m:sup>
                <m:r>
                  <m:rPr>
                    <m:sty m:val="p"/>
                  </m:rPr>
                  <m:t>*</m:t>
                </m:r>
              </m:sup>
            </m:sSubSup>
            <m:r>
              <m:rPr>
                <m:sty m:val="p"/>
              </m:rPr>
              <m:t>+</m:t>
            </m:r>
            <m:sSub>
              <m:e>
                <m:r>
                  <m:rPr>
                    <m:sty m:val="i"/>
                  </m:rPr>
                  <m:t>β</m:t>
                </m:r>
              </m:e>
              <m:sub>
                <m:r>
                  <m:rPr>
                    <m:sty m:val="p"/>
                  </m:rPr>
                  <m:t>2</m:t>
                </m:r>
              </m:sub>
            </m:sSub>
            <m:r>
              <m:rPr>
                <m:sty m:val="i"/>
              </m:rPr>
              <m:t>D</m:t>
            </m:r>
            <m:sSub>
              <m:e>
                <m:r>
                  <m:rPr>
                    <m:sty m:val="i"/>
                  </m:rPr>
                  <m:t>C</m:t>
                </m:r>
              </m:e>
              <m:sub>
                <m:r>
                  <m:rPr>
                    <m:sty m:val="i"/>
                  </m:rPr>
                  <m:t>i</m:t>
                </m:r>
              </m:sub>
            </m:sSub>
            <m:r>
              <m:rPr>
                <m:sty m:val="p"/>
              </m:rPr>
              <m:t>+</m:t>
            </m:r>
            <m:sSub>
              <m:e>
                <m:r>
                  <m:rPr>
                    <m:sty m:val="i"/>
                  </m:rPr>
                  <m:t>β</m:t>
                </m:r>
              </m:e>
              <m:sub>
                <m:r>
                  <m:rPr>
                    <m:sty m:val="p"/>
                  </m:rPr>
                  <m:t>3</m:t>
                </m:r>
              </m:sub>
            </m:sSub>
            <m:r>
              <m:rPr>
                <m:sty m:val="p"/>
              </m:rPr>
              <m:t>(</m:t>
            </m:r>
            <m:sSubSup>
              <m:e>
                <m:r>
                  <m:rPr>
                    <m:sty m:val="i"/>
                  </m:rPr>
                  <m:t>σ</m:t>
                </m:r>
              </m:e>
              <m:sub>
                <m:box>
                  <m:e>
                    <m:r>
                      <m:rPr>
                        <m:sty m:val="i"/>
                      </m:rPr>
                      <m:t>i</m:t>
                    </m:r>
                  </m:e>
                </m:box>
              </m:sub>
              <m:sup>
                <m:r>
                  <m:rPr>
                    <m:sty m:val="p"/>
                  </m:rPr>
                  <m:t>*</m:t>
                </m:r>
              </m:sup>
            </m:sSubSup>
            <m:r>
              <m:rPr>
                <m:sty m:val="p"/>
              </m:rPr>
              <m:t>×</m:t>
            </m:r>
            <m:r>
              <m:rPr>
                <m:sty m:val="i"/>
              </m:rPr>
              <m:t>D</m:t>
            </m:r>
            <m:sSub>
              <m:e>
                <m:r>
                  <m:rPr>
                    <m:sty m:val="i"/>
                  </m:rPr>
                  <m:t>C</m:t>
                </m:r>
              </m:e>
              <m:sub>
                <m:r>
                  <m:rPr>
                    <m:sty m:val="i"/>
                  </m:rPr>
                  <m:t>i</m:t>
                </m:r>
              </m:sub>
            </m:sSub>
            <m:r>
              <m:rPr>
                <m:sty m:val="p"/>
              </m:rPr>
              <m:t>)</m:t>
            </m:r>
            <m:r>
              <m:rPr>
                <m:sty m:val="p"/>
              </m:rPr>
              <m:t>+</m:t>
            </m:r>
            <m:sSub>
              <m:e>
                <m:r>
                  <m:rPr>
                    <m:sty m:val="i"/>
                  </m:rPr>
                  <m:t>ε</m:t>
                </m:r>
              </m:e>
              <m:sub>
                <m:r>
                  <m:rPr>
                    <m:sty m:val="i"/>
                  </m:rPr>
                  <m:t>i</m:t>
                </m:r>
              </m:sub>
            </m:sSub>
          </m:e>
        </m:box>
      </m:oMathPara>
    </w:p>
    <w:p>
      <w:pPr>
        <w:spacing w:before="0" w:after="60" w:line="360" w:lineRule="auto"/>
        <w:ind w:firstLine="480"/>
      </w:pPr>
      <w:r>
        <w:rPr>
          <w:rFonts w:ascii="Times New Roman" w:hAnsi="Times New Roman" w:eastAsia="宋体"/>
          <w:b w:val="0"/>
          <w:i w:val="0"/>
          <w:sz w:val="24"/>
        </w:rPr>
        <w:t>其中 σ* 以百分点为单位，DC 为回撤控制的0-1虚拟变量。</w:t>
      </w:r>
    </w:p>
    <w:p>
      <w:pPr>
        <w:spacing w:before="200" w:after="60" w:line="276" w:lineRule="auto"/>
        <w:jc w:val="center"/>
      </w:pPr>
      <w:r>
        <w:rPr>
          <w:rFonts w:ascii="Times New Roman" w:hAnsi="Times New Roman" w:eastAsia="黑体"/>
          <w:b/>
          <w:i w:val="0"/>
          <w:sz w:val="21"/>
        </w:rPr>
        <w:t>表4　交互效应回归（N=16）</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因变量</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α</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β₁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β₂ (DC)</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β₃ (σ×DC)</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R²</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年化收益%</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3.799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1.9296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−0.6209​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0.945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夏普比率</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1.6275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−0.0627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0.1260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0.944</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卡玛比率</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1.4353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−0.0725</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0.1679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0.0219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0.809</w:t>
            </w:r>
          </w:p>
        </w:tc>
      </w:tr>
    </w:tbl>
    <w:p>
      <w:pPr>
        <w:spacing w:before="0" w:after="60" w:line="360" w:lineRule="auto"/>
        <w:ind w:firstLine="480"/>
      </w:pPr>
      <w:r>
        <w:rPr>
          <w:rFonts w:ascii="Times New Roman" w:hAnsi="Times New Roman" w:eastAsia="宋体"/>
          <w:b/>
          <w:i w:val="0"/>
          <w:sz w:val="24"/>
        </w:rPr>
        <w:t>*、</w:t>
      </w:r>
      <w:r>
        <w:rPr>
          <w:rFonts w:ascii="Times New Roman" w:hAnsi="Times New Roman" w:eastAsia="宋体"/>
          <w:b w:val="0"/>
          <w:i w:val="0"/>
          <w:sz w:val="24"/>
        </w:rPr>
        <w:t>分别表示1%、5%显著性水平。</w:t>
      </w:r>
    </w:p>
    <w:p>
      <w:pPr>
        <w:spacing w:before="0" w:after="60" w:line="360" w:lineRule="auto"/>
        <w:ind w:firstLine="480"/>
      </w:pPr>
      <w:r>
        <w:rPr>
          <w:rFonts w:ascii="Times New Roman" w:hAnsi="Times New Roman" w:eastAsia="宋体"/>
          <w:b/>
          <w:i w:val="0"/>
          <w:sz w:val="24"/>
        </w:rPr>
        <w:t>交互项 β₃ = −0.6209（p&lt;0.001）</w:t>
      </w:r>
      <w:r>
        <w:rPr>
          <w:rFonts w:ascii="Times New Roman" w:hAnsi="Times New Roman" w:eastAsia="宋体"/>
          <w:b w:val="0"/>
          <w:i w:val="0"/>
          <w:sz w:val="24"/>
        </w:rPr>
        <w:t>，其绝对值达到主效应 β₁ = +0.6479 的</w:t>
      </w:r>
      <w:r>
        <w:rPr>
          <w:rFonts w:ascii="Times New Roman" w:hAnsi="Times New Roman" w:eastAsia="宋体"/>
          <w:b/>
          <w:i w:val="0"/>
          <w:sz w:val="24"/>
        </w:rPr>
        <w:t>95.8%</w:t>
      </w:r>
      <w:r>
        <w:rPr>
          <w:rFonts w:ascii="Times New Roman" w:hAnsi="Times New Roman" w:eastAsia="宋体"/>
          <w:b w:val="0"/>
          <w:i w:val="0"/>
          <w:sz w:val="24"/>
        </w:rPr>
        <w:t>。经济含义是：</w:t>
      </w:r>
    </w:p>
    <w:p>
      <w:pPr>
        <w:spacing w:before="40" w:after="40" w:line="336" w:lineRule="auto"/>
        <w:ind w:left="480"/>
      </w:pPr>
      <w:r>
        <w:rPr>
          <w:rFonts w:ascii="Times New Roman" w:hAnsi="Times New Roman" w:eastAsia="宋体"/>
          <w:b w:val="0"/>
          <w:i w:val="0"/>
          <w:sz w:val="24"/>
        </w:rPr>
        <w:t>关闭回撤控制时，目标波动每提高1个百分点，年化收益增加0.648个百分点；</w:t>
      </w:r>
    </w:p>
    <w:p>
      <w:pPr>
        <w:spacing w:before="40" w:after="40" w:line="336" w:lineRule="auto"/>
        <w:ind w:left="480"/>
      </w:pPr>
      <w:r>
        <w:rPr>
          <w:rFonts w:ascii="Times New Roman" w:hAnsi="Times New Roman" w:eastAsia="宋体"/>
          <w:b w:val="0"/>
          <w:i w:val="0"/>
          <w:sz w:val="24"/>
        </w:rPr>
        <w:t xml:space="preserve">启用回撤控制后，同一斜率降至 0.648 − 0.621 = </w:t>
      </w:r>
      <w:r>
        <w:rPr>
          <w:rFonts w:ascii="Times New Roman" w:hAnsi="Times New Roman" w:eastAsia="宋体"/>
          <w:b/>
          <w:i w:val="0"/>
          <w:sz w:val="24"/>
        </w:rPr>
        <w:t>0.027个百分点</w:t>
      </w:r>
      <w:r>
        <w:rPr>
          <w:rFonts w:ascii="Times New Roman" w:hAnsi="Times New Roman" w:eastAsia="宋体"/>
          <w:b w:val="0"/>
          <w:i w:val="0"/>
          <w:sz w:val="24"/>
        </w:rPr>
        <w:t>，即</w:t>
      </w:r>
      <w:r>
        <w:rPr>
          <w:rFonts w:ascii="Times New Roman" w:hAnsi="Times New Roman" w:eastAsia="宋体"/>
          <w:b/>
          <w:i w:val="0"/>
          <w:sz w:val="24"/>
        </w:rPr>
        <w:t>几乎完全失效</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这直接支持假说H2。值得注意的是，交互效应在</w:t>
      </w:r>
      <w:r>
        <w:rPr>
          <w:rFonts w:ascii="Times New Roman" w:hAnsi="Times New Roman" w:eastAsia="宋体"/>
          <w:b/>
          <w:i w:val="0"/>
          <w:sz w:val="24"/>
        </w:rPr>
        <w:t>夏普比率与卡玛比率上并不显著</w:t>
      </w:r>
      <w:r>
        <w:rPr>
          <w:rFonts w:ascii="Times New Roman" w:hAnsi="Times New Roman" w:eastAsia="宋体"/>
          <w:b w:val="0"/>
          <w:i w:val="0"/>
          <w:sz w:val="24"/>
        </w:rPr>
        <w:t>（β₃ 的p值分别为0.812与0.375）——因为回撤控制在压缩回撤分母上有正向作用，抵消了收益端的负效应。换言之，</w:t>
      </w:r>
      <w:r>
        <w:rPr>
          <w:rFonts w:ascii="Times New Roman" w:hAnsi="Times New Roman" w:eastAsia="宋体"/>
          <w:b/>
          <w:i w:val="0"/>
          <w:sz w:val="24"/>
        </w:rPr>
        <w:t>回撤控制"改善"了风险调整指标，却"损害"了绝对收益</w:t>
      </w:r>
      <w:r>
        <w:rPr>
          <w:rFonts w:ascii="Times New Roman" w:hAnsi="Times New Roman" w:eastAsia="宋体"/>
          <w:b w:val="0"/>
          <w:i w:val="0"/>
          <w:sz w:val="24"/>
        </w:rPr>
        <w:t>；若以绝对收益为目标（这正是零售投资者与绝对收益产品的真实目标），交互效应明确为负。</w:t>
      </w:r>
    </w:p>
    <w:p>
      <w:pPr>
        <w:spacing w:before="240" w:after="100" w:line="360" w:lineRule="auto"/>
      </w:pPr>
      <w:r>
        <w:rPr>
          <w:rFonts w:ascii="Times New Roman" w:hAnsi="Times New Roman" w:eastAsia="黑体"/>
          <w:b/>
          <w:i w:val="0"/>
          <w:sz w:val="26"/>
        </w:rPr>
        <w:t>4.4 统计显著性：block bootstrap</w:t>
      </w:r>
    </w:p>
    <w:p>
      <w:pPr>
        <w:spacing w:before="0" w:after="60" w:line="360" w:lineRule="auto"/>
        <w:ind w:firstLine="480"/>
      </w:pPr>
      <w:r>
        <w:rPr>
          <w:rFonts w:ascii="Times New Roman" w:hAnsi="Times New Roman" w:eastAsia="宋体"/>
          <w:b w:val="0"/>
          <w:i w:val="0"/>
          <w:sz w:val="24"/>
        </w:rPr>
        <w:t>由于策略收益存在序列相关与路径依赖，本文采用 block bootstrap（block=21个交易日，重采样2000次）检验关键对比的显著性，而非使用常规t检验。</w:t>
      </w:r>
    </w:p>
    <w:p>
      <w:pPr>
        <w:spacing w:before="200" w:after="60" w:line="276" w:lineRule="auto"/>
        <w:jc w:val="center"/>
      </w:pPr>
      <w:r>
        <w:rPr>
          <w:rFonts w:ascii="Times New Roman" w:hAnsi="Times New Roman" w:eastAsia="黑体"/>
          <w:b/>
          <w:i w:val="0"/>
          <w:sz w:val="21"/>
        </w:rPr>
        <w:t>表5　block bootstrap 检验（2000次，block=21日）</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对比</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ΔSharpe</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95%置信区间</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p值</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沪深300ETF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+1.005</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[0.495, 1.533]</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0.000</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红利ETF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+0.836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[0.326, 1.391]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国债ETF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[−0.596, 0.801]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0.774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内点最优(σ=5.5%) vs 高目标(σ=12%)，同为DC开</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+0.439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[0.092, 0.772]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0.012</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DC开 vs DC关，同为σ=5.5%</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+0.181</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[−0.040, 0.407]</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0.112</w:t>
            </w:r>
          </w:p>
        </w:tc>
      </w:tr>
    </w:tbl>
    <w:p>
      <w:pPr>
        <w:spacing w:before="0" w:after="60" w:line="360" w:lineRule="auto"/>
        <w:ind w:firstLine="480"/>
      </w:pPr>
      <w:r>
        <w:rPr>
          <w:rFonts w:ascii="Times New Roman" w:hAnsi="Times New Roman" w:eastAsia="宋体"/>
          <w:b w:val="0"/>
          <w:i w:val="0"/>
          <w:sz w:val="24"/>
        </w:rPr>
        <w:t>三个结论：</w:t>
      </w:r>
    </w:p>
    <w:p>
      <w:pPr>
        <w:spacing w:before="0" w:after="60" w:line="360" w:lineRule="auto"/>
        <w:ind w:firstLine="480"/>
      </w:pPr>
      <w:r>
        <w:rPr>
          <w:rFonts w:ascii="Times New Roman" w:hAnsi="Times New Roman" w:eastAsia="宋体"/>
          <w:b/>
          <w:i w:val="0"/>
          <w:sz w:val="24"/>
        </w:rPr>
        <w:t>（1）内点最优是真实的，而非样本噪声。</w:t>
      </w:r>
      <w:r>
        <w:rPr>
          <w:rFonts w:ascii="Times New Roman" w:hAnsi="Times New Roman" w:eastAsia="宋体"/>
          <w:b w:val="0"/>
          <w:i w:val="0"/>
          <w:sz w:val="24"/>
        </w:rPr>
        <w:t xml:space="preserve"> σ</w:t>
      </w:r>
      <w:r>
        <w:rPr>
          <w:rFonts w:ascii="Times New Roman" w:hAnsi="Times New Roman" w:eastAsia="宋体"/>
          <w:b w:val="0"/>
          <w:i w:val="0"/>
          <w:sz w:val="24"/>
        </w:rPr>
        <w:t>*=5.5%相对σ*</w:t>
      </w:r>
      <w:r>
        <w:rPr>
          <w:rFonts w:ascii="Times New Roman" w:hAnsi="Times New Roman" w:eastAsia="宋体"/>
          <w:b w:val="0"/>
          <w:i w:val="0"/>
          <w:sz w:val="24"/>
        </w:rPr>
        <w:t>=12%的夏普优势为+0.439，95%置信区间[0.092, 0.772]完全位于正区间，p=0.012。这是本文核心发现的统计基础。</w:t>
      </w:r>
    </w:p>
    <w:p>
      <w:pPr>
        <w:spacing w:before="0" w:after="60" w:line="360" w:lineRule="auto"/>
        <w:ind w:firstLine="480"/>
      </w:pPr>
      <w:r>
        <w:rPr>
          <w:rFonts w:ascii="Times New Roman" w:hAnsi="Times New Roman" w:eastAsia="宋体"/>
          <w:b/>
          <w:i w:val="0"/>
          <w:sz w:val="24"/>
        </w:rPr>
        <w:t>（2）策略显著优于股票类基准</w:t>
      </w:r>
      <w:r>
        <w:rPr>
          <w:rFonts w:ascii="Times New Roman" w:hAnsi="Times New Roman" w:eastAsia="宋体"/>
          <w:b w:val="0"/>
          <w:i w:val="0"/>
          <w:sz w:val="24"/>
        </w:rPr>
        <w:t>（vs 沪深300 p&lt;0.001；vs 红利 p=0.004），但</w:t>
      </w:r>
      <w:r>
        <w:rPr>
          <w:rFonts w:ascii="Times New Roman" w:hAnsi="Times New Roman" w:eastAsia="宋体"/>
          <w:b/>
          <w:i w:val="0"/>
          <w:sz w:val="24"/>
        </w:rPr>
        <w:t>不显著优于国债ETF</w:t>
      </w:r>
      <w:r>
        <w:rPr>
          <w:rFonts w:ascii="Times New Roman" w:hAnsi="Times New Roman" w:eastAsia="宋体"/>
          <w:b w:val="0"/>
          <w:i w:val="0"/>
          <w:sz w:val="24"/>
        </w:rPr>
        <w:t>（ΔSharpe=+0.116, p=0.774）。这一负面结果必须如实报告：国债ETF在本样本内夏普已达1.30（受益于2014年以来的债券长牛），策略相对国债的风险调整优势不具统计显著性。这提示：</w:t>
      </w:r>
      <w:r>
        <w:rPr>
          <w:rFonts w:ascii="Times New Roman" w:hAnsi="Times New Roman" w:eastAsia="宋体"/>
          <w:b/>
          <w:i w:val="0"/>
          <w:sz w:val="24"/>
        </w:rPr>
        <w:t>本文策略的增量价值主要体现在绝对收益与回撤控制，而非相对无风险资产的夏普提升</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（3）回撤控制本身的收益影响不显著</w:t>
      </w:r>
      <w:r>
        <w:rPr>
          <w:rFonts w:ascii="Times New Roman" w:hAnsi="Times New Roman" w:eastAsia="宋体"/>
          <w:b w:val="0"/>
          <w:i w:val="0"/>
          <w:sz w:val="24"/>
        </w:rPr>
        <w:t>（p=0.112）。这进一步印证第4.3节的解读：回撤控制不改变夏普，但改变前沿形状——它在低目标波动区帮助有限，在高目标波动区伤害显著。</w:t>
      </w:r>
    </w:p>
    <w:p>
      <w:pPr>
        <w:spacing w:before="320" w:after="200" w:line="360" w:lineRule="auto"/>
        <w:jc w:val="center"/>
      </w:pPr>
      <w:r>
        <w:rPr>
          <w:rFonts w:ascii="Times New Roman" w:hAnsi="Times New Roman" w:eastAsia="黑体"/>
          <w:b/>
          <w:i w:val="0"/>
          <w:sz w:val="30"/>
        </w:rPr>
        <w:t>五、机制检验与数值模拟</w:t>
      </w:r>
    </w:p>
    <w:p>
      <w:pPr>
        <w:spacing w:before="0" w:after="60" w:line="360" w:lineRule="auto"/>
        <w:ind w:firstLine="480"/>
      </w:pPr>
      <w:r>
        <w:rPr>
          <w:rFonts w:ascii="Times New Roman" w:hAnsi="Times New Roman" w:eastAsia="宋体"/>
          <w:b w:val="0"/>
          <w:i w:val="0"/>
          <w:sz w:val="24"/>
        </w:rPr>
        <w:t>第4节确立了"存在内点最优"这一事实，本节回答"为什么"。</w:t>
      </w:r>
    </w:p>
    <w:p>
      <w:pPr>
        <w:spacing w:before="240" w:after="100" w:line="360" w:lineRule="auto"/>
      </w:pPr>
      <w:r>
        <w:rPr>
          <w:rFonts w:ascii="Times New Roman" w:hAnsi="Times New Roman" w:eastAsia="黑体"/>
          <w:b/>
          <w:i w:val="0"/>
          <w:sz w:val="26"/>
        </w:rPr>
        <w:t>5.1 敞口实现率：风险预算被吃掉的直接证据</w:t>
      </w:r>
    </w:p>
    <w:p>
      <w:pPr>
        <w:spacing w:before="0" w:after="60" w:line="360" w:lineRule="auto"/>
        <w:ind w:firstLine="480"/>
      </w:pPr>
      <w:r>
        <w:rPr>
          <w:rFonts w:ascii="Times New Roman" w:hAnsi="Times New Roman" w:eastAsia="宋体"/>
          <w:b w:val="0"/>
          <w:i w:val="0"/>
          <w:sz w:val="24"/>
        </w:rPr>
        <w:t>本文构造</w:t>
      </w:r>
      <w:r>
        <w:rPr>
          <w:rFonts w:ascii="Times New Roman" w:hAnsi="Times New Roman" w:eastAsia="宋体"/>
          <w:b/>
          <w:i w:val="0"/>
          <w:sz w:val="24"/>
        </w:rPr>
        <w:t>敞口实现率</w:t>
      </w:r>
      <w:r>
        <w:rPr>
          <w:rFonts w:ascii="Times New Roman" w:hAnsi="Times New Roman" w:eastAsia="宋体"/>
          <w:b w:val="0"/>
          <w:i w:val="0"/>
          <w:sz w:val="24"/>
        </w:rPr>
        <w:t>（realization ratio）作为核心机制变量：</w:t>
      </w:r>
    </w:p>
    <w:p>
      <w:pPr>
        <w:spacing w:before="160" w:after="160" w:line="240" w:lineRule="auto"/>
        <w:jc w:val="center"/>
      </w:pPr>
      <m:oMathPara>
        <m:box>
          <m:e>
            <m:r>
              <m:rPr>
                <m:sty m:val="i"/>
              </m:rPr>
              <m:t>λ</m:t>
            </m:r>
            <m:r>
              <m:rPr>
                <m:sty m:val="p"/>
              </m:rPr>
              <m:t>(</m:t>
            </m:r>
            <m:sSup>
              <m:e>
                <m:r>
                  <m:rPr>
                    <m:sty m:val="i"/>
                  </m:rPr>
                  <m:t>σ</m:t>
                </m:r>
              </m:e>
              <m:sup>
                <m:r>
                  <m:rPr>
                    <m:sty m:val="p"/>
                  </m:rPr>
                  <m:t>*</m:t>
                </m:r>
              </m:sup>
            </m:sSup>
            <m:r>
              <m:rPr>
                <m:sty m:val="p"/>
              </m:rPr>
              <m:t>)</m:t>
            </m:r>
            <m:r>
              <m:rPr>
                <m:sty m:val="p"/>
              </m:rPr>
              <m:t>=</m:t>
            </m:r>
            <m:f>
              <m:num>
                <m:box>
                  <m:e>
                    <m:r>
                      <m:rPr>
                        <m:nor/>
                      </m:rPr>
                      <m:t>实际实现波动</m:t>
                    </m:r>
                  </m:e>
                </m:box>
              </m:num>
              <m:den>
                <m:box>
                  <m:e>
                    <m:r>
                      <m:rPr>
                        <m:nor/>
                      </m:rPr>
                      <m:t>目标波动</m:t>
                    </m:r>
                    <m:r>
                      <m:rPr>
                        <m:nor/>
                      </m:rPr>
                      <m:t> </m:t>
                    </m:r>
                    <m:sSup>
                      <m:e>
                        <m:r>
                          <m:rPr>
                            <m:sty m:val="i"/>
                          </m:rPr>
                          <m:t>σ</m:t>
                        </m:r>
                      </m:e>
                      <m:sup>
                        <m:r>
                          <m:rPr>
                            <m:sty m:val="p"/>
                          </m:rPr>
                          <m:t>*</m:t>
                        </m:r>
                      </m:sup>
                    </m:sSup>
                  </m:e>
                </m:box>
              </m:den>
            </m:f>
          </m:e>
        </m:box>
      </m:oMathPara>
    </w:p>
    <w:p>
      <w:pPr>
        <w:spacing w:before="0" w:after="60" w:line="360" w:lineRule="auto"/>
        <w:ind w:firstLine="480"/>
      </w:pPr>
      <w:r>
        <w:rPr>
          <w:rFonts w:ascii="Times New Roman" w:hAnsi="Times New Roman" w:eastAsia="宋体"/>
          <w:b w:val="0"/>
          <w:i w:val="0"/>
          <w:sz w:val="24"/>
        </w:rPr>
        <w:t>若波动率目标有效运行，λ 应接近1；若回撤控制持续压制敞口，λ 将显著小于1，且随 σ* 上升而下降。</w:t>
      </w:r>
    </w:p>
    <w:p>
      <w:pPr>
        <w:spacing w:before="200" w:after="60" w:line="276" w:lineRule="auto"/>
        <w:jc w:val="center"/>
      </w:pPr>
      <w:r>
        <w:rPr>
          <w:rFonts w:ascii="Times New Roman" w:hAnsi="Times New Roman" w:eastAsia="黑体"/>
          <w:b/>
          <w:i w:val="0"/>
          <w:sz w:val="21"/>
        </w:rPr>
        <w:t>表6　敞口实现率与敞口削减（回撤控制开启）</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实现率 λ</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平均目标敞口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平均有效敞口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敞口削减%</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3.76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23.5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27.5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0.831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27.6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4.73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0.788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34.0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4.97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0.563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0.607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48.3</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5.70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0.475</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58.7</w:t>
            </w:r>
          </w:p>
        </w:tc>
      </w:tr>
    </w:tbl>
    <w:p>
      <w:pPr>
        <w:spacing w:before="0" w:after="60" w:line="360" w:lineRule="auto"/>
        <w:ind w:firstLine="480"/>
      </w:pPr>
      <w:r>
        <w:rPr>
          <w:rFonts w:ascii="Times New Roman" w:hAnsi="Times New Roman" w:eastAsia="宋体"/>
          <w:b w:val="0"/>
          <w:i w:val="0"/>
          <w:sz w:val="24"/>
        </w:rPr>
        <w:t>表6是本文最直接的机制证据，三个数字值得强调：</w:t>
      </w:r>
    </w:p>
    <w:p>
      <w:pPr>
        <w:spacing w:before="0" w:after="60" w:line="360" w:lineRule="auto"/>
        <w:ind w:firstLine="480"/>
      </w:pPr>
      <w:r>
        <w:rPr>
          <w:rFonts w:ascii="Times New Roman" w:hAnsi="Times New Roman" w:eastAsia="宋体"/>
          <w:b/>
          <w:i w:val="0"/>
          <w:sz w:val="24"/>
        </w:rPr>
        <w:t>（1）实现率单调下降。</w:t>
      </w:r>
      <w:r>
        <w:rPr>
          <w:rFonts w:ascii="Times New Roman" w:hAnsi="Times New Roman" w:eastAsia="宋体"/>
          <w:b w:val="0"/>
          <w:i w:val="0"/>
          <w:sz w:val="24"/>
        </w:rPr>
        <w:t xml:space="preserve"> λ 从1.079（σ</w:t>
      </w:r>
      <w:r>
        <w:rPr>
          <w:rFonts w:ascii="Times New Roman" w:hAnsi="Times New Roman" w:eastAsia="宋体"/>
          <w:b w:val="0"/>
          <w:i w:val="0"/>
          <w:sz w:val="24"/>
        </w:rPr>
        <w:t>*=3%）降至0.475（σ*</w:t>
      </w:r>
      <w:r>
        <w:rPr>
          <w:rFonts w:ascii="Times New Roman" w:hAnsi="Times New Roman" w:eastAsia="宋体"/>
          <w:b w:val="0"/>
          <w:i w:val="0"/>
          <w:sz w:val="24"/>
        </w:rPr>
        <w:t>=12%）。这意味着在目标波动12%时，投资者"计划"承担12%的波动，实际只承担了5.70%——</w:t>
      </w:r>
      <w:r>
        <w:rPr>
          <w:rFonts w:ascii="Times New Roman" w:hAnsi="Times New Roman" w:eastAsia="宋体"/>
          <w:b/>
          <w:i w:val="0"/>
          <w:sz w:val="24"/>
        </w:rPr>
        <w:t>风险预算有一半以上从未被使用</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（2）目标敞口的增长被系统性吞噬。</w:t>
      </w:r>
      <w:r>
        <w:rPr>
          <w:rFonts w:ascii="Times New Roman" w:hAnsi="Times New Roman" w:eastAsia="宋体"/>
          <w:b w:val="0"/>
          <w:i w:val="0"/>
          <w:sz w:val="24"/>
        </w:rPr>
        <w:t xml:space="preserve"> 目标敞口从0.444提升至0.852（增长92%），但有效敞口仅从0.321升至0.352（增长9.7%）。换言之，</w:t>
      </w:r>
      <w:r>
        <w:rPr>
          <w:rFonts w:ascii="Times New Roman" w:hAnsi="Times New Roman" w:eastAsia="宋体"/>
          <w:b/>
          <w:i w:val="0"/>
          <w:sz w:val="24"/>
        </w:rPr>
        <w:t>σ* 从5.5%提到12%所增加的风险预算，有约90%被回撤控制吃掉</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（3）波动被"封顶"。</w:t>
      </w:r>
      <w:r>
        <w:rPr>
          <w:rFonts w:ascii="Times New Roman" w:hAnsi="Times New Roman" w:eastAsia="宋体"/>
          <w:b w:val="0"/>
          <w:i w:val="0"/>
          <w:sz w:val="24"/>
        </w:rPr>
        <w:t xml:space="preserve"> 实现波动在σ*=5.5%之后几乎不再增长（4.57%→5.70%），而回撤控制的削减比例同步从27.6%升至58.7%。这解释了第4.2节观察到的前沿单峰：既然实际承担的风险无法提高，收益自然无法提高。</w:t>
      </w:r>
    </w:p>
    <w:p>
      <w:pPr>
        <w:spacing w:before="0" w:after="60" w:line="360" w:lineRule="auto"/>
        <w:ind w:firstLine="480"/>
      </w:pPr>
      <w:r>
        <w:rPr>
          <w:rFonts w:ascii="Times New Roman" w:hAnsi="Times New Roman" w:eastAsia="宋体"/>
          <w:b w:val="0"/>
          <w:i w:val="0"/>
          <w:sz w:val="24"/>
        </w:rPr>
        <w:t>假说H3得到支持。</w:t>
      </w:r>
    </w:p>
    <w:p>
      <w:pPr>
        <w:spacing w:before="240" w:after="100" w:line="360" w:lineRule="auto"/>
      </w:pPr>
      <w:r>
        <w:rPr>
          <w:rFonts w:ascii="Times New Roman" w:hAnsi="Times New Roman" w:eastAsia="黑体"/>
          <w:b/>
          <w:i w:val="0"/>
          <w:sz w:val="26"/>
        </w:rPr>
        <w:t>5.2 收益归因：被吞噬的是"敞口效应"</w:t>
      </w:r>
    </w:p>
    <w:p>
      <w:pPr>
        <w:spacing w:before="0" w:after="60" w:line="360" w:lineRule="auto"/>
        <w:ind w:firstLine="480"/>
      </w:pPr>
      <w:r>
        <w:rPr>
          <w:rFonts w:ascii="Times New Roman" w:hAnsi="Times New Roman" w:eastAsia="宋体"/>
          <w:b w:val="0"/>
          <w:i w:val="0"/>
          <w:sz w:val="24"/>
        </w:rPr>
        <w:t>为进一步定位损失的来源，本文对组合收益做如下分解：</w:t>
      </w:r>
    </w:p>
    <w:p>
      <w:pPr>
        <w:spacing w:before="160" w:after="160" w:line="240" w:lineRule="auto"/>
        <w:jc w:val="center"/>
      </w:pPr>
      <m:oMathPara>
        <m:box>
          <m:e>
            <m:r>
              <m:rPr>
                <m:sty m:val="i"/>
              </m:rPr>
              <m:t>R</m:t>
            </m:r>
            <m:r>
              <m:rPr>
                <m:sty m:val="p"/>
              </m:rPr>
              <m:t>=</m:t>
            </m:r>
            <m:limLow>
              <m:e>
                <m:groupChr>
                  <m:groupChrPr>
                    <m:chr m:val="⏟"/>
                    <m:pos m:val="bot"/>
                  </m:groupChrPr>
                  <m:e>
                    <m:box>
                      <m:e>
                        <m:groupChr>
                          <m:groupChrPr>
                            <m:chr m:val="¯"/>
                            <m:pos m:val="top"/>
                          </m:groupChrPr>
                          <m:e>
                            <m:box>
                              <m:e>
                                <m:r>
                                  <m:rPr>
                                    <m:sty m:val="i"/>
                                  </m:rPr>
                                  <m:t>e</m:t>
                                </m:r>
                              </m:e>
                            </m:box>
                          </m:e>
                        </m:groupChr>
                        <m:r>
                          <m:rPr>
                            <m:sty m:val="p"/>
                          </m:rPr>
                          <m:t>·</m:t>
                        </m:r>
                        <m:sSub>
                          <m:e>
                            <m:r>
                              <m:rPr>
                                <m:sty m:val="i"/>
                              </m:rPr>
                              <m:t>r</m:t>
                            </m: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nary>
                          <m:naryPr>
                            <m:chr m:val="∑"/>
                            <m:limLoc m:val="undOvr"/>
                          </m:naryPr>
                          <m:sub>
                            <m:r>
                              <m:rPr>
                                <m:sty m:val="i"/>
                              </m:rPr>
                              <m:t>t</m:t>
                            </m:r>
                          </m:sub>
                          <m:sup/>
                          <m:e>
                            <m:r>
                              <m:rPr>
                                <m:sty m:val="p"/>
                              </m:rPr>
                              <m:t>(</m:t>
                            </m:r>
                            <m:sSub>
                              <m:e>
                                <m:r>
                                  <m:rPr>
                                    <m:sty m:val="i"/>
                                  </m:rPr>
                                  <m:t>e</m:t>
                                </m:r>
                              </m:e>
                              <m:sub>
                                <m:r>
                                  <m:rPr>
                                    <m:sty m:val="i"/>
                                  </m:rPr>
                                  <m:t>t</m:t>
                                </m:r>
                              </m:sub>
                            </m:sSub>
                            <m:r>
                              <m:rPr>
                                <m:sty m:val="p"/>
                              </m:rPr>
                              <m:t>−</m:t>
                            </m:r>
                            <m:groupChr>
                              <m:groupChrPr>
                                <m:chr m:val="¯"/>
                                <m:pos m:val="top"/>
                              </m:groupChrPr>
                              <m:e>
                                <m:box>
                                  <m:e>
                                    <m:r>
                                      <m:rPr>
                                        <m:sty m:val="i"/>
                                      </m:rPr>
                                      <m:t>e</m:t>
                                    </m:r>
                                  </m:e>
                                </m:box>
                              </m:e>
                            </m:groupChr>
                            <m:r>
                              <m:rPr>
                                <m:sty m:val="p"/>
                              </m:rPr>
                              <m:t>)</m:t>
                            </m:r>
                            <m:r>
                              <m:t/>
                            </m:r>
                            <m:sSub>
                              <m:e>
                                <m:r>
                                  <m:rPr>
                                    <m:sty m:val="i"/>
                                  </m:rPr>
                                  <m:t>r</m:t>
                                </m:r>
                              </m:e>
                              <m:sub>
                                <m:r>
                                  <m:rPr>
                                    <m:sty m:val="i"/>
                                  </m:rPr>
                                  <m:t>t</m:t>
                                </m:r>
                              </m:sub>
                            </m:sSub>
                          </m:e>
                        </m:nary>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其中 ē 为平均有效敞口，r_ref 为未施加风控的逆波动加权组合收益。第一项衡量"平均承担了多少风险"，第二项衡量"择时是否增加了价值"。</w:t>
      </w:r>
    </w:p>
    <w:p>
      <w:pPr>
        <w:spacing w:before="200" w:after="60" w:line="276" w:lineRule="auto"/>
        <w:jc w:val="center"/>
      </w:pPr>
      <w:r>
        <w:rPr>
          <w:rFonts w:ascii="Times New Roman" w:hAnsi="Times New Roman" w:eastAsia="黑体"/>
          <w:b/>
          <w:i w:val="0"/>
          <w:sz w:val="21"/>
        </w:rPr>
        <w:t>表7　收益归因分解</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回撤控制</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平均敞口 ē</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敞口效应%</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择时效应%</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2.21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2.71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10.05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1.54</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2.24</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11.64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10.36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1.28</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5.63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4.28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1.35</w:t>
            </w:r>
          </w:p>
        </w:tc>
      </w:tr>
    </w:tbl>
    <w:p>
      <w:pPr>
        <w:spacing w:before="0" w:after="60" w:line="360" w:lineRule="auto"/>
        <w:ind w:firstLine="480"/>
      </w:pPr>
      <w:r>
        <w:rPr>
          <w:rFonts w:ascii="Times New Roman" w:hAnsi="Times New Roman" w:eastAsia="宋体"/>
          <w:b w:val="0"/>
          <w:i w:val="0"/>
          <w:sz w:val="24"/>
        </w:rPr>
        <w:t>分解结果揭示了两个此前未被识别的机制。</w:t>
      </w:r>
    </w:p>
    <w:p>
      <w:pPr>
        <w:spacing w:before="0" w:after="60" w:line="360" w:lineRule="auto"/>
        <w:ind w:firstLine="480"/>
      </w:pPr>
      <w:r>
        <w:rPr>
          <w:rFonts w:ascii="Times New Roman" w:hAnsi="Times New Roman" w:eastAsia="宋体"/>
          <w:b/>
          <w:i w:val="0"/>
          <w:sz w:val="24"/>
        </w:rPr>
        <w:t>机制一：回撤控制吞噬的主要是敞口效应。</w:t>
      </w:r>
      <w:r>
        <w:rPr>
          <w:rFonts w:ascii="Times New Roman" w:hAnsi="Times New Roman" w:eastAsia="宋体"/>
          <w:b w:val="0"/>
          <w:i w:val="0"/>
          <w:sz w:val="24"/>
        </w:rPr>
        <w:t xml:space="preserve"> 在σ*=12%时，关闭回撤控制的敞口效应为10.36%，开启后降至4.28%（减少6.08个百分点）；而择时效应基本不变（1.28%→1.35%）。这说明回撤控制的损害主要来自"把平均仓位压低"，而非"干扰择时"。</w:t>
      </w:r>
    </w:p>
    <w:p>
      <w:pPr>
        <w:spacing w:before="0" w:after="60" w:line="360" w:lineRule="auto"/>
        <w:ind w:firstLine="480"/>
      </w:pPr>
      <w:r>
        <w:rPr>
          <w:rFonts w:ascii="Times New Roman" w:hAnsi="Times New Roman" w:eastAsia="宋体"/>
          <w:b/>
          <w:i w:val="0"/>
          <w:sz w:val="24"/>
        </w:rPr>
        <w:t>机制二：择时效应本身也随σ*上升而衰减。</w:t>
      </w:r>
      <w:r>
        <w:rPr>
          <w:rFonts w:ascii="Times New Roman" w:hAnsi="Times New Roman" w:eastAsia="宋体"/>
          <w:b w:val="0"/>
          <w:i w:val="0"/>
          <w:sz w:val="24"/>
        </w:rPr>
        <w:t xml:space="preserve"> 在回撤控制开启时，择时效应从2.71%（σ</w:t>
      </w:r>
      <w:r>
        <w:rPr>
          <w:rFonts w:ascii="Times New Roman" w:hAnsi="Times New Roman" w:eastAsia="宋体"/>
          <w:b w:val="0"/>
          <w:i w:val="0"/>
          <w:sz w:val="24"/>
        </w:rPr>
        <w:t>*=5.5%）降至1.35%（σ*</w:t>
      </w:r>
      <w:r>
        <w:rPr>
          <w:rFonts w:ascii="Times New Roman" w:hAnsi="Times New Roman" w:eastAsia="宋体"/>
          <w:b w:val="0"/>
          <w:i w:val="0"/>
          <w:sz w:val="24"/>
        </w:rPr>
        <w:t>=12%），腰斩过半。这揭示了第二个机制——</w:t>
      </w:r>
      <w:r>
        <w:rPr>
          <w:rFonts w:ascii="Times New Roman" w:hAnsi="Times New Roman" w:eastAsia="宋体"/>
          <w:b/>
          <w:i w:val="0"/>
          <w:sz w:val="24"/>
        </w:rPr>
        <w:t>信号冲销（signal offsetting）</w:t>
      </w:r>
      <w:r>
        <w:rPr>
          <w:rFonts w:ascii="Times New Roman" w:hAnsi="Times New Roman" w:eastAsia="宋体"/>
          <w:b w:val="0"/>
          <w:i w:val="0"/>
          <w:sz w:val="24"/>
        </w:rPr>
        <w:t>：当目标波动较高时，回撤控制的机械削减频繁覆盖趋势择时信号给出的加仓指令，使择时能力无法兑现。这解释了为何σ</w:t>
      </w:r>
      <w:r>
        <w:rPr>
          <w:rFonts w:ascii="Times New Roman" w:hAnsi="Times New Roman" w:eastAsia="宋体"/>
          <w:b w:val="0"/>
          <w:i w:val="0"/>
          <w:sz w:val="24"/>
        </w:rPr>
        <w:t>*=12%时尽管敞口效应略高于σ*</w:t>
      </w:r>
      <w:r>
        <w:rPr>
          <w:rFonts w:ascii="Times New Roman" w:hAnsi="Times New Roman" w:eastAsia="宋体"/>
          <w:b w:val="0"/>
          <w:i w:val="0"/>
          <w:sz w:val="24"/>
        </w:rPr>
        <w:t>=5.5%（4.28% vs 3.91%），总收益反而更低（5.63% vs 6.62%）。</w:t>
      </w:r>
    </w:p>
    <w:p>
      <w:pPr>
        <w:spacing w:before="240" w:after="100" w:line="360" w:lineRule="auto"/>
      </w:pPr>
      <w:r>
        <w:rPr>
          <w:rFonts w:ascii="Times New Roman" w:hAnsi="Times New Roman" w:eastAsia="黑体"/>
          <w:b/>
          <w:i w:val="0"/>
          <w:sz w:val="26"/>
        </w:rPr>
        <w:t>5.3 错误时点：减仓最狠时，市场随后最好</w:t>
      </w:r>
    </w:p>
    <w:p>
      <w:pPr>
        <w:spacing w:before="0" w:after="60" w:line="360" w:lineRule="auto"/>
        <w:ind w:firstLine="480"/>
      </w:pPr>
      <w:r>
        <w:rPr>
          <w:rFonts w:ascii="Times New Roman" w:hAnsi="Times New Roman" w:eastAsia="宋体"/>
          <w:b w:val="0"/>
          <w:i w:val="0"/>
          <w:sz w:val="24"/>
        </w:rPr>
        <w:t>若回撤控制的削减只是"降低平均仓位"，那么只要市场长期向上，损失尚可接受。但本文发现，削减发生在</w:t>
      </w:r>
      <w:r>
        <w:rPr>
          <w:rFonts w:ascii="Times New Roman" w:hAnsi="Times New Roman" w:eastAsia="宋体"/>
          <w:b/>
          <w:i w:val="0"/>
          <w:sz w:val="24"/>
        </w:rPr>
        <w:t>最糟糕的时点</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本文按回撤控制档位将交易日分组，比较各组之后的累计收益。</w:t>
      </w:r>
    </w:p>
    <w:p>
      <w:pPr>
        <w:spacing w:before="200" w:after="60" w:line="276" w:lineRule="auto"/>
        <w:jc w:val="center"/>
      </w:pPr>
      <w:r>
        <w:rPr>
          <w:rFonts w:ascii="Times New Roman" w:hAnsi="Times New Roman" w:eastAsia="黑体"/>
          <w:b/>
          <w:i w:val="0"/>
          <w:sz w:val="21"/>
        </w:rPr>
        <w:t>表8　按减仓强度分组的后续收益（%）</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持有期</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无减仓</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轻度×0.70</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中度×0.40</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重度×0.15</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20日</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0.403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40日</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0.802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0.979</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60日</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1.232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1.186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1.472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120日</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2.878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2.859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2.849</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250日</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8.012 (N=1275)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6.325 (N=821)</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6.855 (N=635)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8.943 (N=229)</w:t>
            </w:r>
          </w:p>
        </w:tc>
      </w:tr>
    </w:tbl>
    <w:p>
      <w:pPr>
        <w:spacing w:before="0" w:after="60" w:line="360" w:lineRule="auto"/>
        <w:ind w:firstLine="480"/>
      </w:pPr>
      <w:r>
        <w:rPr>
          <w:rFonts w:ascii="Times New Roman" w:hAnsi="Times New Roman" w:eastAsia="宋体"/>
          <w:b/>
          <w:i w:val="0"/>
          <w:sz w:val="24"/>
        </w:rPr>
        <w:t>最反直觉的结果出现在250日窗口</w:t>
      </w:r>
      <w:r>
        <w:rPr>
          <w:rFonts w:ascii="Times New Roman" w:hAnsi="Times New Roman" w:eastAsia="宋体"/>
          <w:b w:val="0"/>
          <w:i w:val="0"/>
          <w:sz w:val="24"/>
        </w:rPr>
        <w:t>：重度减仓期（仓位被压至15%）之后250个交易日的收益达</w:t>
      </w:r>
      <w:r>
        <w:rPr>
          <w:rFonts w:ascii="Times New Roman" w:hAnsi="Times New Roman" w:eastAsia="宋体"/>
          <w:b/>
          <w:i w:val="0"/>
          <w:sz w:val="24"/>
        </w:rPr>
        <w:t>8.943%</w:t>
      </w:r>
      <w:r>
        <w:rPr>
          <w:rFonts w:ascii="Times New Roman" w:hAnsi="Times New Roman" w:eastAsia="宋体"/>
          <w:b w:val="0"/>
          <w:i w:val="0"/>
          <w:sz w:val="24"/>
        </w:rPr>
        <w:t>，不但高于轻度与中度减仓期，甚至</w:t>
      </w:r>
      <w:r>
        <w:rPr>
          <w:rFonts w:ascii="Times New Roman" w:hAnsi="Times New Roman" w:eastAsia="宋体"/>
          <w:b/>
          <w:i w:val="0"/>
          <w:sz w:val="24"/>
        </w:rPr>
        <w:t>高于完全未减仓期的8.012%</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这一结果需要谨慎解读。它并不意味着"回撤控制的信号是反向的"——在短期窗口（20—60日）内，减仓期的后续收益确实低于未减仓期，说明减仓在短期内是正确的。真正的含义是：</w:t>
      </w:r>
      <w:r>
        <w:rPr>
          <w:rFonts w:ascii="Times New Roman" w:hAnsi="Times New Roman" w:eastAsia="宋体"/>
          <w:b/>
          <w:i w:val="0"/>
          <w:sz w:val="24"/>
        </w:rPr>
        <w:t>回撤控制在深度减仓时，把仓位压到了无法参与后续反弹的程度</w:t>
      </w:r>
      <w:r>
        <w:rPr>
          <w:rFonts w:ascii="Times New Roman" w:hAnsi="Times New Roman" w:eastAsia="宋体"/>
          <w:b w:val="0"/>
          <w:i w:val="0"/>
          <w:sz w:val="24"/>
        </w:rPr>
        <w:t>。当市场在深跌后修复时，策略以15%的仓位参与，而此时的收益恰恰是最丰厚的。</w:t>
      </w:r>
    </w:p>
    <w:p>
      <w:pPr>
        <w:spacing w:before="0" w:after="60" w:line="360" w:lineRule="auto"/>
        <w:ind w:firstLine="480"/>
      </w:pPr>
      <w:r>
        <w:rPr>
          <w:rFonts w:ascii="Times New Roman" w:hAnsi="Times New Roman" w:eastAsia="宋体"/>
          <w:b w:val="0"/>
          <w:i w:val="0"/>
          <w:sz w:val="24"/>
        </w:rPr>
        <w:t>假说H4得到支持。这也与组合保险文献中"棘轮效应"（ratchet effect）的描述一致：触及底线后敞口被长期压制，参与反弹的能力丧失。</w:t>
      </w:r>
    </w:p>
    <w:p>
      <w:pPr>
        <w:spacing w:before="240" w:after="100" w:line="360" w:lineRule="auto"/>
      </w:pPr>
      <w:r>
        <w:rPr>
          <w:rFonts w:ascii="Times New Roman" w:hAnsi="Times New Roman" w:eastAsia="黑体"/>
          <w:b/>
          <w:i w:val="0"/>
          <w:sz w:val="26"/>
        </w:rPr>
        <w:t>5.4 数值模拟：理论命题的验证</w:t>
      </w:r>
    </w:p>
    <w:p>
      <w:pPr>
        <w:spacing w:before="0" w:after="60" w:line="360" w:lineRule="auto"/>
        <w:ind w:firstLine="480"/>
      </w:pPr>
      <w:r>
        <w:rPr>
          <w:rFonts w:ascii="Times New Roman" w:hAnsi="Times New Roman" w:eastAsia="宋体"/>
          <w:b w:val="0"/>
          <w:i w:val="0"/>
          <w:sz w:val="24"/>
        </w:rPr>
        <w:t>为检验第2.4节理论命题的普适性，本文进行蒙特卡洛模拟。设定风险资产收益服从带随机波动率的过程（两状态马尔可夫链，低波7.8%/高波17.8%），夏普比率随波动上升而下降（β=0.9），模拟4000条路径、每条2520个交易日。</w:t>
      </w:r>
    </w:p>
    <w:p>
      <w:pPr>
        <w:spacing w:before="0" w:after="60" w:line="360" w:lineRule="auto"/>
        <w:ind w:firstLine="480"/>
      </w:pPr>
      <w:r>
        <w:rPr>
          <w:rFonts w:ascii="Times New Roman" w:hAnsi="Times New Roman" w:eastAsia="宋体"/>
          <w:b/>
          <w:i w:val="0"/>
          <w:sz w:val="24"/>
        </w:rPr>
        <w:t>命题1（截断的不对称性）。</w:t>
      </w:r>
      <w:r>
        <w:rPr>
          <w:rFonts w:ascii="Times New Roman" w:hAnsi="Times New Roman" w:eastAsia="宋体"/>
          <w:b w:val="0"/>
          <w:i w:val="0"/>
          <w:sz w:val="24"/>
        </w:rPr>
        <w:t xml:space="preserve"> 表9显示，当 Ē=1 时，E[e^V] 随 σ</w:t>
      </w:r>
      <w:r>
        <w:rPr>
          <w:rFonts w:ascii="Times New Roman" w:hAnsi="Times New Roman" w:eastAsia="宋体"/>
          <w:b w:val="0"/>
          <w:i w:val="0"/>
          <w:sz w:val="24"/>
        </w:rPr>
        <w:t>* 上升迅速饱和（σ*</w:t>
      </w:r>
      <w:r>
        <w:rPr>
          <w:rFonts w:ascii="Times New Roman" w:hAnsi="Times New Roman" w:eastAsia="宋体"/>
          <w:b w:val="0"/>
          <w:i w:val="0"/>
          <w:sz w:val="24"/>
        </w:rPr>
        <w:t>≥0.16后停滞在0.66附近）；而 Ē=2 时持续增长至1.16。截断缺口从σ</w:t>
      </w:r>
      <w:r>
        <w:rPr>
          <w:rFonts w:ascii="Times New Roman" w:hAnsi="Times New Roman" w:eastAsia="宋体"/>
          <w:b w:val="0"/>
          <w:i w:val="0"/>
          <w:sz w:val="24"/>
        </w:rPr>
        <w:t>*=0.09时的0.048扩大至σ*</w:t>
      </w:r>
      <w:r>
        <w:rPr>
          <w:rFonts w:ascii="Times New Roman" w:hAnsi="Times New Roman" w:eastAsia="宋体"/>
          <w:b w:val="0"/>
          <w:i w:val="0"/>
          <w:sz w:val="24"/>
        </w:rPr>
        <w:t>=0.20时的0.498，证实了"低波动加仓"功能在无杠杆下丧失。</w:t>
      </w:r>
    </w:p>
    <w:p>
      <w:pPr>
        <w:spacing w:before="200" w:after="60" w:line="276" w:lineRule="auto"/>
        <w:jc w:val="center"/>
      </w:pPr>
      <w:r>
        <w:rPr>
          <w:rFonts w:ascii="Times New Roman" w:hAnsi="Times New Roman" w:eastAsia="黑体"/>
          <w:b/>
          <w:i w:val="0"/>
          <w:sz w:val="21"/>
        </w:rPr>
        <w:t>表9　模拟：截断的不对称性（E[e^V]）</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σ</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Ē=1.0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Ē=2.0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截断缺口</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0.09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0.5538</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0.6014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0.0476</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0.6156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0.7997</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0.1841</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0.6580</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1.0344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0.3764</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0.20</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0.6632</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1.1608</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0.4976</w:t>
            </w:r>
          </w:p>
        </w:tc>
      </w:tr>
    </w:tbl>
    <w:p>
      <w:pPr>
        <w:spacing w:before="0" w:after="60" w:line="360" w:lineRule="auto"/>
        <w:ind w:firstLine="480"/>
      </w:pPr>
      <w:r>
        <w:rPr>
          <w:rFonts w:ascii="Times New Roman" w:hAnsi="Times New Roman" w:eastAsia="宋体"/>
          <w:b/>
          <w:i w:val="0"/>
          <w:sz w:val="24"/>
        </w:rPr>
        <w:t>命题2（时变过度减仓）。</w:t>
      </w:r>
      <w:r>
        <w:rPr>
          <w:rFonts w:ascii="Times New Roman" w:hAnsi="Times New Roman" w:eastAsia="宋体"/>
          <w:b w:val="0"/>
          <w:i w:val="0"/>
          <w:sz w:val="24"/>
        </w:rPr>
        <w:t xml:space="preserve"> 模拟显示 corr(cut_V, cut_D) 在+0.128至+0.156之间，显著为正，与实证（+0.057至+0.095）方向一致；平均回撤控制乘子 E[φ] 随 σ* 上升而从0.525单调降至0.222。这证实了两层风控的削减动作高度同步。</w:t>
      </w:r>
    </w:p>
    <w:p>
      <w:pPr>
        <w:spacing w:before="0" w:after="60" w:line="360" w:lineRule="auto"/>
        <w:ind w:firstLine="480"/>
      </w:pPr>
      <w:r>
        <w:rPr>
          <w:rFonts w:ascii="Times New Roman" w:hAnsi="Times New Roman" w:eastAsia="宋体"/>
          <w:b/>
          <w:i w:val="0"/>
          <w:sz w:val="24"/>
        </w:rPr>
        <w:t>命题5（杠杆能否化解）。</w:t>
      </w:r>
      <w:r>
        <w:rPr>
          <w:rFonts w:ascii="Times New Roman" w:hAnsi="Times New Roman" w:eastAsia="宋体"/>
          <w:b w:val="0"/>
          <w:i w:val="0"/>
          <w:sz w:val="24"/>
        </w:rPr>
        <w:t xml:space="preserve"> 表10显示，在回撤控制开启时，将 Ē 从1放松至2，σ</w:t>
      </w:r>
      <w:r>
        <w:rPr>
          <w:rFonts w:ascii="Times New Roman" w:hAnsi="Times New Roman" w:eastAsia="宋体"/>
          <w:b w:val="0"/>
          <w:i w:val="0"/>
          <w:sz w:val="24"/>
        </w:rPr>
        <w:t>*=0.16时的年化收益仅从0.99%升至1.33%（提升34%）；而在回撤控制关闭时，同样放松杠杆使年化从4.04%升至5.86%（提升45%）。更重要的是，*</w:t>
      </w:r>
      <w:r>
        <w:rPr>
          <w:rFonts w:ascii="Times New Roman" w:hAnsi="Times New Roman" w:eastAsia="宋体"/>
          <w:b w:val="0"/>
          <w:i w:val="0"/>
          <w:sz w:val="24"/>
        </w:rPr>
        <w:t>*内点最优在 Ē=2 时依然存在*</w:t>
      </w:r>
      <w:r>
        <w:rPr>
          <w:rFonts w:ascii="Times New Roman" w:hAnsi="Times New Roman" w:eastAsia="宋体"/>
          <w:b w:val="0"/>
          <w:i w:val="0"/>
          <w:sz w:val="24"/>
        </w:rPr>
        <w:t>*——这与实证结果（第6.5节）一致，证实了推论：由于回撤控制的削减是乘性的，杠杆只能放大第一层的产出，无法对抗第二层的削减比例。</w:t>
      </w:r>
    </w:p>
    <w:p>
      <w:pPr>
        <w:spacing w:before="200" w:after="60" w:line="276" w:lineRule="auto"/>
        <w:jc w:val="center"/>
      </w:pPr>
      <w:r>
        <w:rPr>
          <w:rFonts w:ascii="Times New Roman" w:hAnsi="Times New Roman" w:eastAsia="黑体"/>
          <w:b/>
          <w:i w:val="0"/>
          <w:sz w:val="21"/>
        </w:rPr>
        <w:t>表10　模拟：杠杆的作用（年化%）</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σ=0.16</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σ=0.16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2.24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0.99</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5.86</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0.77</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1.33</w:t>
            </w:r>
          </w:p>
        </w:tc>
      </w:tr>
    </w:tbl>
    <w:p>
      <w:pPr>
        <w:spacing w:before="0" w:after="60" w:line="360" w:lineRule="auto"/>
        <w:ind w:firstLine="480"/>
      </w:pPr>
      <w:r>
        <w:rPr>
          <w:rFonts w:ascii="Times New Roman" w:hAnsi="Times New Roman" w:eastAsia="宋体"/>
          <w:b/>
          <w:i w:val="0"/>
          <w:sz w:val="24"/>
        </w:rPr>
        <w:t>关于命题3的说明。</w:t>
      </w:r>
      <w:r>
        <w:rPr>
          <w:rFonts w:ascii="Times New Roman" w:hAnsi="Times New Roman" w:eastAsia="宋体"/>
          <w:b w:val="0"/>
          <w:i w:val="0"/>
          <w:sz w:val="24"/>
        </w:rPr>
        <w:t xml:space="preserve"> 模拟中，回撤控制对"收益-目标波动"斜率的压缩极为显著：关闭回撤控制时，σ</w:t>
      </w:r>
      <w:r>
        <w:rPr>
          <w:rFonts w:ascii="Times New Roman" w:hAnsi="Times New Roman" w:eastAsia="宋体"/>
          <w:b w:val="0"/>
          <w:i w:val="0"/>
          <w:sz w:val="24"/>
        </w:rPr>
        <w:t>*从0.055升至0.16带来年化收益增加1.80个百分点；开启后仅增加0.21个百分点，*</w:t>
      </w:r>
      <w:r>
        <w:rPr>
          <w:rFonts w:ascii="Times New Roman" w:hAnsi="Times New Roman" w:eastAsia="宋体"/>
          <w:b w:val="0"/>
          <w:i w:val="0"/>
          <w:sz w:val="24"/>
        </w:rPr>
        <w:t>*边际收益被压缩88%*</w:t>
      </w:r>
      <w:r>
        <w:rPr>
          <w:rFonts w:ascii="Times New Roman" w:hAnsi="Times New Roman" w:eastAsia="宋体"/>
          <w:b w:val="0"/>
          <w:i w:val="0"/>
          <w:sz w:val="24"/>
        </w:rPr>
        <w:t>*。但模拟未复现实证中观察到的*</w:t>
      </w:r>
      <w:r>
        <w:rPr>
          <w:rFonts w:ascii="Times New Roman" w:hAnsi="Times New Roman" w:eastAsia="宋体"/>
          <w:b w:val="0"/>
          <w:i w:val="0"/>
          <w:sz w:val="24"/>
        </w:rPr>
        <w:t>*绝对下降*</w:t>
      </w:r>
      <w:r>
        <w:rPr>
          <w:rFonts w:ascii="Times New Roman" w:hAnsi="Times New Roman" w:eastAsia="宋体"/>
          <w:b w:val="0"/>
          <w:i w:val="0"/>
          <w:sz w:val="24"/>
        </w:rPr>
        <w:t>*（内点最优）。</w:t>
      </w:r>
    </w:p>
    <w:p>
      <w:pPr>
        <w:spacing w:before="0" w:after="60" w:line="360" w:lineRule="auto"/>
        <w:ind w:firstLine="480"/>
      </w:pPr>
      <w:r>
        <w:rPr>
          <w:rFonts w:ascii="Times New Roman" w:hAnsi="Times New Roman" w:eastAsia="宋体"/>
          <w:b w:val="0"/>
          <w:i w:val="0"/>
          <w:sz w:val="24"/>
        </w:rPr>
        <w:t>本文认为这一差异源于模拟的简化：模拟使用单一风险资产，缺乏实证中的跨资产分散，导致回撤更深、回撤控制触发更早。这一差异本身具有信息含量——</w:t>
      </w:r>
      <w:r>
        <w:rPr>
          <w:rFonts w:ascii="Times New Roman" w:hAnsi="Times New Roman" w:eastAsia="宋体"/>
          <w:b/>
          <w:i w:val="0"/>
          <w:sz w:val="24"/>
        </w:rPr>
        <w:t>它提示内点最优的绝对形态可能是多资产环境下的特有现象</w:t>
      </w:r>
      <w:r>
        <w:rPr>
          <w:rFonts w:ascii="Times New Roman" w:hAnsi="Times New Roman" w:eastAsia="宋体"/>
          <w:b w:val="0"/>
          <w:i w:val="0"/>
          <w:sz w:val="24"/>
        </w:rPr>
        <w:t>，因为在单一资产下，回撤控制的削减从一开始就处于饱和状态。无论何种情形，"提高风险预算的边际收益被大幅压缩"这一核心结论在模拟与实证中均成立。</w:t>
      </w:r>
    </w:p>
    <w:p>
      <w:pPr>
        <w:spacing w:before="320" w:after="200" w:line="360" w:lineRule="auto"/>
        <w:jc w:val="center"/>
      </w:pPr>
      <w:r>
        <w:rPr>
          <w:rFonts w:ascii="Times New Roman" w:hAnsi="Times New Roman" w:eastAsia="黑体"/>
          <w:b/>
          <w:i w:val="0"/>
          <w:sz w:val="30"/>
        </w:rPr>
        <w:t>六、稳健性检验</w:t>
      </w:r>
    </w:p>
    <w:p>
      <w:pPr>
        <w:spacing w:before="240" w:after="100" w:line="360" w:lineRule="auto"/>
      </w:pPr>
      <w:r>
        <w:rPr>
          <w:rFonts w:ascii="Times New Roman" w:hAnsi="Times New Roman" w:eastAsia="黑体"/>
          <w:b/>
          <w:i w:val="0"/>
          <w:sz w:val="26"/>
        </w:rPr>
        <w:t>6.1 剔除样本内最强资产</w:t>
      </w:r>
    </w:p>
    <w:p>
      <w:pPr>
        <w:spacing w:before="0" w:after="60" w:line="360" w:lineRule="auto"/>
        <w:ind w:firstLine="480"/>
      </w:pPr>
      <w:r>
        <w:rPr>
          <w:rFonts w:ascii="Times New Roman" w:hAnsi="Times New Roman" w:eastAsia="宋体"/>
          <w:b w:val="0"/>
          <w:i w:val="0"/>
          <w:sz w:val="24"/>
        </w:rPr>
        <w:t>纳指ETF在样本内年化21.13%，是全池最强资产。若策略的优异表现主要来自"押中纳指"，结论将缺乏普遍性。</w:t>
      </w:r>
    </w:p>
    <w:p>
      <w:pPr>
        <w:spacing w:before="200" w:after="60" w:line="276" w:lineRule="auto"/>
        <w:jc w:val="center"/>
      </w:pPr>
      <w:r>
        <w:rPr>
          <w:rFonts w:ascii="Times New Roman" w:hAnsi="Times New Roman" w:eastAsia="黑体"/>
          <w:b/>
          <w:i w:val="0"/>
          <w:sz w:val="21"/>
        </w:rPr>
        <w:t>表11　剔除检验（σ*=5.5%，DC开）</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场景</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全池（6资产）</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剔除纳指</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剔除恒生</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剔除黄金</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剔除中证500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剔除纳指+恒生</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5.94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−4.29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1.38</w:t>
            </w:r>
          </w:p>
        </w:tc>
      </w:tr>
    </w:tbl>
    <w:p>
      <w:pPr>
        <w:spacing w:before="0" w:after="60" w:line="360" w:lineRule="auto"/>
        <w:ind w:firstLine="480"/>
      </w:pPr>
      <w:r>
        <w:rPr>
          <w:rFonts w:ascii="Times New Roman" w:hAnsi="Times New Roman" w:eastAsia="宋体"/>
          <w:b/>
          <w:i w:val="0"/>
          <w:sz w:val="24"/>
        </w:rPr>
        <w:t>剔除纳指后，年化收益完全不变（6.47%），夏普比率反而升至1.45</w:t>
      </w:r>
      <w:r>
        <w:rPr>
          <w:rFonts w:ascii="Times New Roman" w:hAnsi="Times New Roman" w:eastAsia="宋体"/>
          <w:b w:val="0"/>
          <w:i w:val="0"/>
          <w:sz w:val="24"/>
        </w:rPr>
        <w:t>。同时剔除纳指与恒生两个境外资产后，年化仍达5.94%、夏普1.40。这证明策略的表现来自配置机制而非单一幸运资产。黄金的剔除影响最大（年化降至5.60%），符合其在相关性矩阵中近乎独立的地位（与所有资产相关系数0.02—0.09）。</w:t>
      </w:r>
    </w:p>
    <w:p>
      <w:pPr>
        <w:spacing w:before="240" w:after="100" w:line="360" w:lineRule="auto"/>
      </w:pPr>
      <w:r>
        <w:rPr>
          <w:rFonts w:ascii="Times New Roman" w:hAnsi="Times New Roman" w:eastAsia="黑体"/>
          <w:b/>
          <w:i w:val="0"/>
          <w:sz w:val="26"/>
        </w:rPr>
        <w:t>6.2 子样本检验</w:t>
      </w:r>
    </w:p>
    <w:p>
      <w:pPr>
        <w:spacing w:before="200" w:after="60" w:line="276" w:lineRule="auto"/>
        <w:jc w:val="center"/>
      </w:pPr>
      <w:r>
        <w:rPr>
          <w:rFonts w:ascii="Times New Roman" w:hAnsi="Times New Roman" w:eastAsia="黑体"/>
          <w:b/>
          <w:i w:val="0"/>
          <w:sz w:val="21"/>
        </w:rPr>
        <w:t>表12　子样本检验</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2017-12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8.06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2019-12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2018-01 ~ 2022-12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2020-01 ~ 2026-10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5.31</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1.28</w:t>
            </w:r>
          </w:p>
        </w:tc>
      </w:tr>
    </w:tbl>
    <w:p>
      <w:pPr>
        <w:spacing w:before="0" w:after="60" w:line="360" w:lineRule="auto"/>
        <w:ind w:firstLine="480"/>
      </w:pPr>
      <w:r>
        <w:rPr>
          <w:rFonts w:ascii="Times New Roman" w:hAnsi="Times New Roman" w:eastAsia="宋体"/>
          <w:b w:val="0"/>
          <w:i w:val="0"/>
          <w:sz w:val="24"/>
        </w:rPr>
        <w:t>前半段表现显著优于后半段（7.66% vs 5.31%）。</w:t>
      </w:r>
      <w:r>
        <w:rPr>
          <w:rFonts w:ascii="Times New Roman" w:hAnsi="Times New Roman" w:eastAsia="宋体"/>
          <w:b/>
          <w:i w:val="0"/>
          <w:sz w:val="24"/>
        </w:rPr>
        <w:t>这一衰减是真实且必须正视的</w:t>
      </w:r>
      <w:r>
        <w:rPr>
          <w:rFonts w:ascii="Times New Roman" w:hAnsi="Times New Roman" w:eastAsia="宋体"/>
          <w:b w:val="0"/>
          <w:i w:val="0"/>
          <w:sz w:val="24"/>
        </w:rPr>
        <w:t>：2021年后A股进入长期震荡，纳指ETF在2022年下跌33%，黄金在2021—2022年横盘——多资产同时缺乏趋势时，趋势跟随策略天然吃亏。但即便在最差的2018—2022子样本，年化收益仍有4.87%，最大回撤维持在−4.15%，未出现失效。</w:t>
      </w:r>
    </w:p>
    <w:p>
      <w:pPr>
        <w:spacing w:before="240" w:after="100" w:line="360" w:lineRule="auto"/>
      </w:pPr>
      <w:r>
        <w:rPr>
          <w:rFonts w:ascii="Times New Roman" w:hAnsi="Times New Roman" w:eastAsia="黑体"/>
          <w:b/>
          <w:i w:val="0"/>
          <w:sz w:val="26"/>
        </w:rPr>
        <w:t>6.3 参数平原：排除过拟合</w:t>
      </w:r>
    </w:p>
    <w:p>
      <w:pPr>
        <w:spacing w:before="200" w:after="60" w:line="276" w:lineRule="auto"/>
        <w:jc w:val="center"/>
      </w:pPr>
      <w:r>
        <w:rPr>
          <w:rFonts w:ascii="Times New Roman" w:hAnsi="Times New Roman" w:eastAsia="黑体"/>
          <w:b/>
          <w:i w:val="0"/>
          <w:sz w:val="21"/>
        </w:rPr>
        <w:t>表13　参数敏感性（15个邻近组合）</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参数</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范围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tv ∈ [4.5%, 6.5%] × MA ∈ [160, 240]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15组</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5.62 ~ 6.79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−3.99 ~ −4.65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1.31 ~ 1.49</w:t>
            </w:r>
          </w:p>
        </w:tc>
      </w:tr>
    </w:tbl>
    <w:p>
      <w:pPr>
        <w:spacing w:before="0" w:after="60" w:line="360" w:lineRule="auto"/>
        <w:ind w:firstLine="480"/>
      </w:pPr>
      <w:r>
        <w:rPr>
          <w:rFonts w:ascii="Times New Roman" w:hAnsi="Times New Roman" w:eastAsia="宋体"/>
          <w:b w:val="0"/>
          <w:i w:val="0"/>
          <w:sz w:val="24"/>
        </w:rPr>
        <w:t>在15个邻近参数组合上，年化收益区间为5.62%—6.79%，最大回撤区间为−3.99%至−4.65%，夏普比率1.31—1.49。</w:t>
      </w:r>
      <w:r>
        <w:rPr>
          <w:rFonts w:ascii="Times New Roman" w:hAnsi="Times New Roman" w:eastAsia="宋体"/>
          <w:b/>
          <w:i w:val="0"/>
          <w:sz w:val="24"/>
        </w:rPr>
        <w:t>无尖峰，参数平原稳健</w:t>
      </w:r>
      <w:r>
        <w:rPr>
          <w:rFonts w:ascii="Times New Roman" w:hAnsi="Times New Roman" w:eastAsia="宋体"/>
          <w:b w:val="0"/>
          <w:i w:val="0"/>
          <w:sz w:val="24"/>
        </w:rPr>
        <w:t>，所选参数（σ*=5.5%, MA200）不是网格搜索的产物，而是平原上的一个内点。</w:t>
      </w:r>
    </w:p>
    <w:p>
      <w:pPr>
        <w:spacing w:before="240" w:after="100" w:line="360" w:lineRule="auto"/>
      </w:pPr>
      <w:r>
        <w:rPr>
          <w:rFonts w:ascii="Times New Roman" w:hAnsi="Times New Roman" w:eastAsia="黑体"/>
          <w:b/>
          <w:i w:val="0"/>
          <w:sz w:val="26"/>
        </w:rPr>
        <w:t>6.4 数据校正对结论的影响</w:t>
      </w:r>
    </w:p>
    <w:p>
      <w:pPr>
        <w:spacing w:before="200" w:after="60" w:line="276" w:lineRule="auto"/>
        <w:jc w:val="center"/>
      </w:pPr>
      <w:r>
        <w:rPr>
          <w:rFonts w:ascii="Times New Roman" w:hAnsi="Times New Roman" w:eastAsia="黑体"/>
          <w:b/>
          <w:i w:val="0"/>
          <w:sz w:val="21"/>
        </w:rPr>
        <w:t>表14　份额折算校正的影响（2013-08起）</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资产</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偏差(pp)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校正后波动%</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纳指ETF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6.68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31.2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中证500ETF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恒生ETF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黄金ETF</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r>
    </w:tbl>
    <w:p>
      <w:pPr>
        <w:spacing w:before="0" w:after="60" w:line="360" w:lineRule="auto"/>
        <w:ind w:firstLine="480"/>
      </w:pPr>
      <w:r>
        <w:rPr>
          <w:rFonts w:ascii="Times New Roman" w:hAnsi="Times New Roman" w:eastAsia="宋体"/>
          <w:b w:val="0"/>
          <w:i w:val="0"/>
          <w:sz w:val="24"/>
        </w:rPr>
        <w:t>纳斯达克100 ETF 在2022-01-14的份额折算造成单日−80.45%的假跌，中证500 ETF 在2015-04-15造成单日+248.55%的假涨。</w:t>
      </w:r>
      <w:r>
        <w:rPr>
          <w:rFonts w:ascii="Times New Roman" w:hAnsi="Times New Roman" w:eastAsia="宋体"/>
          <w:b/>
          <w:i w:val="0"/>
          <w:sz w:val="24"/>
        </w:rPr>
        <w:t>若不做校正，纳指ETF的年化收益将被低估14.35个百分点，中证500ETF将被高估8.80个百分点</w:t>
      </w:r>
      <w:r>
        <w:rPr>
          <w:rFonts w:ascii="Times New Roman" w:hAnsi="Times New Roman" w:eastAsia="宋体"/>
          <w:b w:val="0"/>
          <w:i w:val="0"/>
          <w:sz w:val="24"/>
        </w:rPr>
        <w:t>——这足以颠倒任何基于ETF的实证结论。本文建议后续研究将"扫描|日收益|&gt;15%的异常点"作为使用中国ETF数据的标准步骤。</w:t>
      </w:r>
    </w:p>
    <w:p>
      <w:pPr>
        <w:spacing w:before="240" w:after="100" w:line="360" w:lineRule="auto"/>
      </w:pPr>
      <w:r>
        <w:rPr>
          <w:rFonts w:ascii="Times New Roman" w:hAnsi="Times New Roman" w:eastAsia="黑体"/>
          <w:b/>
          <w:i w:val="0"/>
          <w:sz w:val="26"/>
        </w:rPr>
        <w:t>6.5 放松杠杆约束：假说H5的检验</w:t>
      </w:r>
    </w:p>
    <w:p>
      <w:pPr>
        <w:spacing w:before="0" w:after="60" w:line="360" w:lineRule="auto"/>
        <w:ind w:firstLine="480"/>
      </w:pPr>
      <w:r>
        <w:rPr>
          <w:rFonts w:ascii="Times New Roman" w:hAnsi="Times New Roman" w:eastAsia="宋体"/>
          <w:b w:val="0"/>
          <w:i w:val="0"/>
          <w:sz w:val="24"/>
        </w:rPr>
        <w:t>表15检验推论——放松杠杆约束能否化解内点最优。</w:t>
      </w:r>
    </w:p>
    <w:p>
      <w:pPr>
        <w:spacing w:before="200" w:after="60" w:line="276" w:lineRule="auto"/>
        <w:jc w:val="center"/>
      </w:pPr>
      <w:r>
        <w:rPr>
          <w:rFonts w:ascii="Times New Roman" w:hAnsi="Times New Roman" w:eastAsia="黑体"/>
          <w:b/>
          <w:i w:val="0"/>
          <w:sz w:val="21"/>
        </w:rPr>
        <w:t>表15　有杠杆对照（Ē=2.0，融资利率3%）</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年化%（Ē=2）</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10.14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12.46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+0.74pp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+1.16pp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+0.67pp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+0.14pp</w:t>
            </w:r>
          </w:p>
        </w:tc>
      </w:tr>
    </w:tbl>
    <w:p>
      <w:pPr>
        <w:spacing w:before="0" w:after="60" w:line="360" w:lineRule="auto"/>
        <w:ind w:firstLine="480"/>
      </w:pPr>
      <w:r>
        <w:rPr>
          <w:rFonts w:ascii="Times New Roman" w:hAnsi="Times New Roman" w:eastAsia="宋体"/>
          <w:b w:val="0"/>
          <w:i w:val="0"/>
          <w:sz w:val="24"/>
        </w:rPr>
        <w:t>两个结论：</w:t>
      </w:r>
    </w:p>
    <w:p>
      <w:pPr>
        <w:spacing w:before="0" w:after="60" w:line="360" w:lineRule="auto"/>
        <w:ind w:firstLine="480"/>
      </w:pPr>
      <w:r>
        <w:rPr>
          <w:rFonts w:ascii="Times New Roman" w:hAnsi="Times New Roman" w:eastAsia="宋体"/>
          <w:b/>
          <w:i w:val="0"/>
          <w:sz w:val="24"/>
        </w:rPr>
        <w:t>（1）内点最优在 Ē=2 时依然存在。</w:t>
      </w:r>
      <w:r>
        <w:rPr>
          <w:rFonts w:ascii="Times New Roman" w:hAnsi="Times New Roman" w:eastAsia="宋体"/>
          <w:b w:val="0"/>
          <w:i w:val="0"/>
          <w:sz w:val="24"/>
        </w:rPr>
        <w:t xml:space="preserve"> 峰值仍出现在σ*=5.5%，验证了理论推论——回撤控制的乘性削减无法被杠杆化解。</w:t>
      </w:r>
    </w:p>
    <w:p>
      <w:pPr>
        <w:spacing w:before="0" w:after="60" w:line="360" w:lineRule="auto"/>
        <w:ind w:firstLine="480"/>
      </w:pPr>
      <w:r>
        <w:rPr>
          <w:rFonts w:ascii="Times New Roman" w:hAnsi="Times New Roman" w:eastAsia="宋体"/>
          <w:b/>
          <w:i w:val="0"/>
          <w:sz w:val="24"/>
        </w:rPr>
        <w:t>（2）但杠杆确实缓解了衰减幅度。</w:t>
      </w:r>
      <w:r>
        <w:rPr>
          <w:rFonts w:ascii="Times New Roman" w:hAnsi="Times New Roman" w:eastAsia="宋体"/>
          <w:b w:val="0"/>
          <w:i w:val="0"/>
          <w:sz w:val="24"/>
        </w:rPr>
        <w:t xml:space="preserve"> 末端衰减从0.67pp（Ē=1）降至0.14pp（Ē=2）。原因在于，当目标波动较高时，波动率目标层需要更大的敞口，而 Ē=1 会截断这一需求；放松至 Ē=2 后，第一层的功能恢复，部分抵消了第二层的削减。假说H5得到支持。</w:t>
      </w:r>
    </w:p>
    <w:p>
      <w:pPr>
        <w:spacing w:before="0" w:after="60" w:line="360" w:lineRule="auto"/>
        <w:ind w:firstLine="480"/>
      </w:pPr>
      <w:r>
        <w:rPr>
          <w:rFonts w:ascii="Times New Roman" w:hAnsi="Times New Roman" w:eastAsia="宋体"/>
          <w:b w:val="0"/>
          <w:i w:val="0"/>
          <w:sz w:val="24"/>
        </w:rPr>
        <w:t>这一结果同时具有实践含义：</w:t>
      </w:r>
      <w:r>
        <w:rPr>
          <w:rFonts w:ascii="Times New Roman" w:hAnsi="Times New Roman" w:eastAsia="宋体"/>
          <w:b/>
          <w:i w:val="0"/>
          <w:sz w:val="24"/>
        </w:rPr>
        <w:t>对于能够使用杠杆的机构，回撤控制的收益侵蚀较轻；对于不能使用杠杆的零售投资者，侵蚀最为严重</w:t>
      </w:r>
      <w:r>
        <w:rPr>
          <w:rFonts w:ascii="Times New Roman" w:hAnsi="Times New Roman" w:eastAsia="宋体"/>
          <w:b w:val="0"/>
          <w:i w:val="0"/>
          <w:sz w:val="24"/>
        </w:rPr>
        <w:t>。这构成了本文政策含义的基础。</w:t>
      </w:r>
    </w:p>
    <w:p>
      <w:pPr>
        <w:spacing w:before="240" w:after="100" w:line="360" w:lineRule="auto"/>
      </w:pPr>
      <w:r>
        <w:rPr>
          <w:rFonts w:ascii="Times New Roman" w:hAnsi="Times New Roman" w:eastAsia="黑体"/>
          <w:b/>
          <w:i w:val="0"/>
          <w:sz w:val="26"/>
        </w:rPr>
        <w:t>6.6 关闭战术信号：结论是否依赖信号有效性？</w:t>
      </w:r>
    </w:p>
    <w:p>
      <w:pPr>
        <w:spacing w:before="0" w:after="60" w:line="360" w:lineRule="auto"/>
        <w:ind w:firstLine="480"/>
      </w:pPr>
      <w:r>
        <w:rPr>
          <w:rFonts w:ascii="Times New Roman" w:hAnsi="Times New Roman" w:eastAsia="宋体"/>
          <w:b w:val="0"/>
          <w:i w:val="0"/>
          <w:sz w:val="24"/>
        </w:rPr>
        <w:t>一个必须排除的替代解释是：前沿分岔可能并非两层风控交互的产物，而是本文战术信号（趋势状态、价格分位、M1-M2剪刀差）在特定参数下失效的副产品。第2.3节的文献回顾已指出，中国市场的月度横截面动量不显著，这更增加了对该替代解释的担忧。</w:t>
      </w:r>
    </w:p>
    <w:p>
      <w:pPr>
        <w:spacing w:before="0" w:after="60" w:line="360" w:lineRule="auto"/>
        <w:ind w:firstLine="480"/>
      </w:pPr>
      <w:r>
        <w:rPr>
          <w:rFonts w:ascii="Times New Roman" w:hAnsi="Times New Roman" w:eastAsia="宋体"/>
          <w:b w:val="0"/>
          <w:i w:val="0"/>
          <w:sz w:val="24"/>
        </w:rPr>
        <w:t>为排除这一可能，本文关闭全部战术信号，仅保留</w:t>
      </w:r>
      <w:r>
        <w:rPr>
          <w:rFonts w:ascii="Times New Roman" w:hAnsi="Times New Roman" w:eastAsia="宋体"/>
          <w:b/>
          <w:i w:val="0"/>
          <w:sz w:val="24"/>
        </w:rPr>
        <w:t>纯风险 overlay</w:t>
      </w:r>
      <w:r>
        <w:rPr>
          <w:rFonts w:ascii="Times New Roman" w:hAnsi="Times New Roman" w:eastAsia="宋体"/>
          <w:b w:val="0"/>
          <w:i w:val="0"/>
          <w:sz w:val="24"/>
        </w:rPr>
        <w:t>——即以逆波动率加权构建资产组合、按目标波动缩放敞口、并可叠加回撤控制。此时策略不含任何预测成分，纯粹是对已实现风险的机械反应。</w:t>
      </w:r>
    </w:p>
    <w:p>
      <w:pPr>
        <w:spacing w:before="200" w:after="60" w:line="276" w:lineRule="auto"/>
        <w:jc w:val="center"/>
      </w:pPr>
      <w:r>
        <w:rPr>
          <w:rFonts w:ascii="Times New Roman" w:hAnsi="Times New Roman" w:eastAsia="黑体"/>
          <w:b/>
          <w:i w:val="0"/>
          <w:sz w:val="21"/>
        </w:rPr>
        <w:t>表16　关闭战术信号后的前沿（纯风险 overlay，Ē=1）</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差值(pp)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最大回撤%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Ē=2 DC开 年化%</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8.11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6.13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11.96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7.76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8%（内点）</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1.12pp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r>
    </w:tbl>
    <w:p>
      <w:pPr>
        <w:spacing w:before="200" w:after="60" w:line="240" w:lineRule="auto"/>
        <w:jc w:val="center"/>
      </w:pPr>
      <w:r>
        <w:drawing>
          <wp:inline xmlns:a="http://schemas.openxmlformats.org/drawingml/2006/main" xmlns:pic="http://schemas.openxmlformats.org/drawingml/2006/picture">
            <wp:extent cx="3960000" cy="2257512"/>
            <wp:docPr id="2" name="Picture 2"/>
            <wp:cNvGraphicFramePr>
              <a:graphicFrameLocks noChangeAspect="1"/>
            </wp:cNvGraphicFramePr>
            <a:graphic>
              <a:graphicData uri="http://schemas.openxmlformats.org/drawingml/2006/picture">
                <pic:pic>
                  <pic:nvPicPr>
                    <pic:cNvPr id="0" name="docx_fig3.png"/>
                    <pic:cNvPicPr/>
                  </pic:nvPicPr>
                  <pic:blipFill>
                    <a:blip r:embed="rId12"/>
                    <a:stretch>
                      <a:fillRect/>
                    </a:stretch>
                  </pic:blipFill>
                  <pic:spPr>
                    <a:xfrm>
                      <a:off x="0" y="0"/>
                      <a:ext cx="3960000" cy="2257512"/>
                    </a:xfrm>
                    <a:prstGeom prst="rect"/>
                  </pic:spPr>
                </pic:pic>
              </a:graphicData>
            </a:graphic>
          </wp:inline>
        </w:drawing>
      </w:r>
    </w:p>
    <w:p>
      <w:pPr>
        <w:spacing w:before="40" w:after="200" w:line="276" w:lineRule="auto"/>
        <w:jc w:val="center"/>
      </w:pPr>
      <w:r>
        <w:rPr>
          <w:rFonts w:ascii="Times New Roman" w:hAnsi="Times New Roman" w:eastAsia="黑体"/>
          <w:b/>
          <w:i w:val="0"/>
          <w:sz w:val="21"/>
        </w:rPr>
        <w:t>图3　关闭全部战术信号后，前沿分岔依然存在（圈注：单峰顶点）</w:t>
      </w:r>
    </w:p>
    <w:p>
      <w:pPr>
        <w:spacing w:before="0" w:after="60" w:line="360" w:lineRule="auto"/>
        <w:ind w:firstLine="480"/>
      </w:pPr>
      <w:r>
        <w:rPr>
          <w:rFonts w:ascii="Times New Roman" w:hAnsi="Times New Roman" w:eastAsia="宋体"/>
          <w:b w:val="0"/>
          <w:i w:val="0"/>
          <w:sz w:val="24"/>
        </w:rPr>
        <w:t>三个结论：</w:t>
      </w:r>
    </w:p>
    <w:p>
      <w:pPr>
        <w:spacing w:before="0" w:after="60" w:line="360" w:lineRule="auto"/>
        <w:ind w:firstLine="480"/>
      </w:pPr>
      <w:r>
        <w:rPr>
          <w:rFonts w:ascii="Times New Roman" w:hAnsi="Times New Roman" w:eastAsia="宋体"/>
          <w:b/>
          <w:i w:val="0"/>
          <w:sz w:val="24"/>
        </w:rPr>
        <w:t>（1）无回撤控制时，前沿依然单调递增</w:t>
      </w:r>
      <w:r>
        <w:rPr>
          <w:rFonts w:ascii="Times New Roman" w:hAnsi="Times New Roman" w:eastAsia="宋体"/>
          <w:b w:val="0"/>
          <w:i w:val="0"/>
          <w:sz w:val="24"/>
        </w:rPr>
        <w:t>（5.28%→11.96%），与含信号的情形完全一致。这说明分岔不是信号造成的。</w:t>
      </w:r>
    </w:p>
    <w:p>
      <w:pPr>
        <w:spacing w:before="0" w:after="60" w:line="360" w:lineRule="auto"/>
        <w:ind w:firstLine="480"/>
      </w:pPr>
      <w:r>
        <w:rPr>
          <w:rFonts w:ascii="Times New Roman" w:hAnsi="Times New Roman" w:eastAsia="宋体"/>
          <w:b/>
          <w:i w:val="0"/>
          <w:sz w:val="24"/>
        </w:rPr>
        <w:t>（2）有回撤控制时，前沿转为单峰</w:t>
      </w:r>
      <w:r>
        <w:rPr>
          <w:rFonts w:ascii="Times New Roman" w:hAnsi="Times New Roman" w:eastAsia="宋体"/>
          <w:b w:val="0"/>
          <w:i w:val="0"/>
          <w:sz w:val="24"/>
        </w:rPr>
        <w:t>：峰值6.87%出现在 σ</w:t>
      </w:r>
      <w:r>
        <w:rPr>
          <w:rFonts w:ascii="Times New Roman" w:hAnsi="Times New Roman" w:eastAsia="宋体"/>
          <w:b w:val="0"/>
          <w:i w:val="0"/>
          <w:sz w:val="24"/>
        </w:rPr>
        <w:t>*=8%，此后下降至5.75%（σ*</w:t>
      </w:r>
      <w:r>
        <w:rPr>
          <w:rFonts w:ascii="Times New Roman" w:hAnsi="Times New Roman" w:eastAsia="宋体"/>
          <w:b w:val="0"/>
          <w:i w:val="0"/>
          <w:sz w:val="24"/>
        </w:rPr>
        <w:t>=15%），</w:t>
      </w:r>
      <w:r>
        <w:rPr>
          <w:rFonts w:ascii="Times New Roman" w:hAnsi="Times New Roman" w:eastAsia="宋体"/>
          <w:b/>
          <w:i w:val="0"/>
          <w:sz w:val="24"/>
        </w:rPr>
        <w:t>末端衰减1.12pp</w:t>
      </w:r>
      <w:r>
        <w:rPr>
          <w:rFonts w:ascii="Times New Roman" w:hAnsi="Times New Roman" w:eastAsia="宋体"/>
          <w:b w:val="0"/>
          <w:i w:val="0"/>
          <w:sz w:val="24"/>
        </w:rPr>
        <w:t>（图3）。分岔在无任何预测成分的条件下依然成立。</w:t>
      </w:r>
    </w:p>
    <w:p>
      <w:pPr>
        <w:spacing w:before="0" w:after="60" w:line="360" w:lineRule="auto"/>
        <w:ind w:firstLine="480"/>
      </w:pPr>
      <w:r>
        <w:rPr>
          <w:rFonts w:ascii="Times New Roman" w:hAnsi="Times New Roman" w:eastAsia="宋体"/>
          <w:b/>
          <w:i w:val="0"/>
          <w:sz w:val="24"/>
        </w:rPr>
        <w:t>（3）回撤控制的成本高度集中于高目标波动区。</w:t>
      </w:r>
      <w:r>
        <w:rPr>
          <w:rFonts w:ascii="Times New Roman" w:hAnsi="Times New Roman" w:eastAsia="宋体"/>
          <w:b w:val="0"/>
          <w:i w:val="0"/>
          <w:sz w:val="24"/>
        </w:rPr>
        <w:t xml:space="preserve"> 低目标波动区（σ</w:t>
      </w:r>
      <w:r>
        <w:rPr>
          <w:rFonts w:ascii="Times New Roman" w:hAnsi="Times New Roman" w:eastAsia="宋体"/>
          <w:b w:val="0"/>
          <w:i w:val="0"/>
          <w:sz w:val="24"/>
        </w:rPr>
        <w:t>*≤5.5%）的年均收益仅从6.18%降至5.75%（*</w:t>
      </w:r>
      <w:r>
        <w:rPr>
          <w:rFonts w:ascii="Times New Roman" w:hAnsi="Times New Roman" w:eastAsia="宋体"/>
          <w:b w:val="0"/>
          <w:i w:val="0"/>
          <w:sz w:val="24"/>
        </w:rPr>
        <w:t>*−0.43pp*</w:t>
      </w:r>
      <w:r>
        <w:rPr>
          <w:rFonts w:ascii="Times New Roman" w:hAnsi="Times New Roman" w:eastAsia="宋体"/>
          <w:b w:val="0"/>
          <w:i w:val="0"/>
          <w:sz w:val="24"/>
        </w:rPr>
        <w:t>*）；而高目标波动区（σ*</w:t>
      </w:r>
      <w:r>
        <w:rPr>
          <w:rFonts w:ascii="Times New Roman" w:hAnsi="Times New Roman" w:eastAsia="宋体"/>
          <w:b w:val="0"/>
          <w:i w:val="0"/>
          <w:sz w:val="24"/>
        </w:rPr>
        <w:t>≥10%）从10.98%降至5.93%（</w:t>
      </w:r>
      <w:r>
        <w:rPr>
          <w:rFonts w:ascii="Times New Roman" w:hAnsi="Times New Roman" w:eastAsia="宋体"/>
          <w:b/>
          <w:i w:val="0"/>
          <w:sz w:val="24"/>
        </w:rPr>
        <w:t>−5.05pp</w:t>
      </w:r>
      <w:r>
        <w:rPr>
          <w:rFonts w:ascii="Times New Roman" w:hAnsi="Times New Roman" w:eastAsia="宋体"/>
          <w:b w:val="0"/>
          <w:i w:val="0"/>
          <w:sz w:val="24"/>
        </w:rPr>
        <w:t>）——</w:t>
      </w:r>
      <w:r>
        <w:rPr>
          <w:rFonts w:ascii="Times New Roman" w:hAnsi="Times New Roman" w:eastAsia="宋体"/>
          <w:b/>
          <w:i w:val="0"/>
          <w:sz w:val="24"/>
        </w:rPr>
        <w:t>后者是前者的约12倍</w:t>
      </w:r>
      <w:r>
        <w:rPr>
          <w:rFonts w:ascii="Times New Roman" w:hAnsi="Times New Roman" w:eastAsia="宋体"/>
          <w:b w:val="0"/>
          <w:i w:val="0"/>
          <w:sz w:val="24"/>
        </w:rPr>
        <w:t>。这一"成本集中"特征解释了为何内点最优必然存在：在低目标波动区，回撤控制几乎不触发，收益损失很小；在高目标波动区，回撤控制频繁触发，收益损失急剧放大，最终超过提高风险预算带来的收益增量。</w:t>
      </w:r>
    </w:p>
    <w:p>
      <w:pPr>
        <w:spacing w:before="0" w:after="60" w:line="360" w:lineRule="auto"/>
        <w:ind w:firstLine="480"/>
      </w:pPr>
      <w:r>
        <w:rPr>
          <w:rFonts w:ascii="Times New Roman" w:hAnsi="Times New Roman" w:eastAsia="宋体"/>
          <w:b w:val="0"/>
          <w:i w:val="0"/>
          <w:sz w:val="24"/>
        </w:rPr>
        <w:t>此外，Ē=2 时峰值回到网格末端（7.76%，σ*=15%），与假说H5一致：杠杆虽不能消除分岔，但足以使其在本样本内不再显著。</w:t>
      </w:r>
    </w:p>
    <w:p>
      <w:pPr>
        <w:spacing w:before="0" w:after="60" w:line="360" w:lineRule="auto"/>
        <w:ind w:firstLine="480"/>
      </w:pPr>
      <w:r>
        <w:rPr>
          <w:rFonts w:ascii="Times New Roman" w:hAnsi="Times New Roman" w:eastAsia="宋体"/>
          <w:b/>
          <w:i w:val="0"/>
          <w:sz w:val="24"/>
        </w:rPr>
        <w:t>结论：前沿分岔源自两层风控的交互本身，而非特定战术信号的失效。</w:t>
      </w:r>
      <w:r>
        <w:rPr>
          <w:rFonts w:ascii="Times New Roman" w:hAnsi="Times New Roman" w:eastAsia="宋体"/>
          <w:b w:val="0"/>
          <w:i w:val="0"/>
          <w:sz w:val="24"/>
        </w:rPr>
        <w:t xml:space="preserve"> 这一检验同时回应了第2.3节提出的本土证据担忧——即使在中国这样一个趋势信号偏弱的市场中，该机制依然成立。</w:t>
      </w:r>
    </w:p>
    <w:p>
      <w:pPr>
        <w:spacing w:before="320" w:after="200" w:line="360" w:lineRule="auto"/>
        <w:jc w:val="center"/>
      </w:pPr>
      <w:r>
        <w:rPr>
          <w:rFonts w:ascii="Times New Roman" w:hAnsi="Times New Roman" w:eastAsia="黑体"/>
          <w:b/>
          <w:i w:val="0"/>
          <w:sz w:val="30"/>
        </w:rPr>
        <w:t>七、扩展讨论：约束成本的量化</w:t>
      </w:r>
    </w:p>
    <w:p>
      <w:pPr>
        <w:spacing w:before="240" w:after="100" w:line="360" w:lineRule="auto"/>
      </w:pPr>
      <w:r>
        <w:rPr>
          <w:rFonts w:ascii="Times New Roman" w:hAnsi="Times New Roman" w:eastAsia="黑体"/>
          <w:b/>
          <w:i w:val="0"/>
          <w:sz w:val="26"/>
        </w:rPr>
        <w:t>7.1 从"形状"到"数字"</w:t>
      </w:r>
    </w:p>
    <w:p>
      <w:pPr>
        <w:spacing w:before="0" w:after="60" w:line="360" w:lineRule="auto"/>
        <w:ind w:firstLine="480"/>
      </w:pPr>
      <w:r>
        <w:rPr>
          <w:rFonts w:ascii="Times New Roman" w:hAnsi="Times New Roman" w:eastAsia="宋体"/>
          <w:b w:val="0"/>
          <w:i w:val="0"/>
          <w:sz w:val="24"/>
        </w:rPr>
        <w:t>前文已确立两个结论：回撤控制使收益-风险前沿由单调转为单峰；该效应无法通过放松杠杆约束消除。但两者仍停留在"形状"层面，无法回答政策与实践最关心的问题——</w:t>
      </w:r>
      <w:r>
        <w:rPr>
          <w:rFonts w:ascii="Times New Roman" w:hAnsi="Times New Roman" w:eastAsia="宋体"/>
          <w:b/>
          <w:i w:val="0"/>
          <w:sz w:val="24"/>
        </w:rPr>
        <w:t>受 Ē=1 约束的投资者，究竟为此付出了多少福利代价？</w:t>
      </w:r>
      <w:r>
        <w:rPr>
          <w:rFonts w:ascii="Times New Roman" w:hAnsi="Times New Roman" w:eastAsia="宋体"/>
          <w:b w:val="0"/>
          <w:i w:val="0"/>
          <w:sz w:val="24"/>
        </w:rPr>
        <w:t xml:space="preserve"> 本节将这一代价量化为具体数字。</w:t>
      </w:r>
    </w:p>
    <w:p>
      <w:pPr>
        <w:spacing w:before="0" w:after="60" w:line="360" w:lineRule="auto"/>
        <w:ind w:firstLine="480"/>
      </w:pPr>
      <w:r>
        <w:rPr>
          <w:rFonts w:ascii="Times New Roman" w:hAnsi="Times New Roman" w:eastAsia="宋体"/>
          <w:b w:val="0"/>
          <w:i w:val="0"/>
          <w:sz w:val="24"/>
        </w:rPr>
        <w:t>扫描设计为：14个目标波动档位（3%—15%）× 2个杠杆上限（Ē=1、Ē=2）× 2个回撤控制状态（开/关），共56个组合。Ē=2 组按3%的年融资利率扣除杠杆成本，其余设置与正文一致。下文采用三种互补的度量口径。</w:t>
      </w:r>
    </w:p>
    <w:p>
      <w:pPr>
        <w:spacing w:before="240" w:after="100" w:line="360" w:lineRule="auto"/>
      </w:pPr>
      <w:r>
        <w:rPr>
          <w:rFonts w:ascii="Times New Roman" w:hAnsi="Times New Roman" w:eastAsia="黑体"/>
          <w:b/>
          <w:i w:val="0"/>
          <w:sz w:val="26"/>
        </w:rPr>
        <w:t>7.2 度量一：效用口径</w:t>
      </w:r>
    </w:p>
    <w:p>
      <w:pPr>
        <w:spacing w:before="0" w:after="60" w:line="360" w:lineRule="auto"/>
        <w:ind w:firstLine="480"/>
      </w:pPr>
      <w:r>
        <w:rPr>
          <w:rFonts w:ascii="Times New Roman" w:hAnsi="Times New Roman" w:eastAsia="宋体"/>
          <w:b w:val="0"/>
          <w:i w:val="0"/>
          <w:sz w:val="24"/>
        </w:rPr>
        <w:t>设投资者的均值-方差效用为 U = R − (γ/2)σ²，其中 R 为年化收益、σ 为年化波动、γ 为相对风险厌恶系数。对每一约束集搜索使 U 最大的配置，约束成本定义为两类约束集最优效用之差（以年化收益当量表示，单位：百分点）。</w:t>
      </w:r>
    </w:p>
    <w:p>
      <w:pPr>
        <w:spacing w:before="200" w:after="60" w:line="276" w:lineRule="auto"/>
        <w:jc w:val="center"/>
      </w:pPr>
      <w:r>
        <w:rPr>
          <w:rFonts w:ascii="Times New Roman" w:hAnsi="Times New Roman" w:eastAsia="黑体"/>
          <w:b/>
          <w:i w:val="0"/>
          <w:sz w:val="21"/>
        </w:rPr>
        <w:t>表17　约束成本的效用口径度量</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γ</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回撤控制</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 Ē=1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机构 Ē=2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约束成本(pp)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零售最优回撤%</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14.040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13.389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8.438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9.486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6.961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7.236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6.642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6.003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6.071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0.068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r>
    </w:tbl>
    <w:p>
      <w:pPr>
        <w:spacing w:before="0" w:after="60" w:line="360" w:lineRule="auto"/>
        <w:ind w:firstLine="480"/>
      </w:pPr>
      <w:r>
        <w:rPr>
          <w:rFonts w:ascii="Times New Roman" w:hAnsi="Times New Roman" w:eastAsia="宋体"/>
          <w:b w:val="0"/>
          <w:i w:val="0"/>
          <w:sz w:val="24"/>
        </w:rPr>
        <w:t>两个观察。</w:t>
      </w:r>
    </w:p>
    <w:p>
      <w:pPr>
        <w:spacing w:before="0" w:after="60" w:line="360" w:lineRule="auto"/>
        <w:ind w:firstLine="480"/>
      </w:pPr>
      <w:r>
        <w:rPr>
          <w:rFonts w:ascii="Times New Roman" w:hAnsi="Times New Roman" w:eastAsia="宋体"/>
          <w:b w:val="0"/>
          <w:i w:val="0"/>
          <w:sz w:val="24"/>
        </w:rPr>
        <w:t>其一，</w:t>
      </w:r>
      <w:r>
        <w:rPr>
          <w:rFonts w:ascii="Times New Roman" w:hAnsi="Times New Roman" w:eastAsia="宋体"/>
          <w:b/>
          <w:i w:val="0"/>
          <w:sz w:val="24"/>
        </w:rPr>
        <w:t>约束成本随风险厌恶程度递减</w:t>
      </w:r>
      <w:r>
        <w:rPr>
          <w:rFonts w:ascii="Times New Roman" w:hAnsi="Times New Roman" w:eastAsia="宋体"/>
          <w:b w:val="0"/>
          <w:i w:val="0"/>
          <w:sz w:val="24"/>
        </w:rPr>
        <w:t>。γ=0.5 时无杠杆约束使最优效用损失2.688个百分点，γ=8 时仅损失0.071个百分点。原因是高厌恶投资者的最优配置本就落在低目标波动区，而 Ē=1 的截断只在 σ</w:t>
      </w:r>
      <w:r>
        <w:rPr>
          <w:rFonts w:ascii="Times New Roman" w:hAnsi="Times New Roman" w:eastAsia="宋体"/>
          <w:b w:val="0"/>
          <w:i w:val="0"/>
          <w:sz w:val="24"/>
        </w:rPr>
        <w:t>* 较大时才绑定。*</w:t>
      </w:r>
      <w:r>
        <w:rPr>
          <w:rFonts w:ascii="Times New Roman" w:hAnsi="Times New Roman" w:eastAsia="宋体"/>
          <w:b w:val="0"/>
          <w:i w:val="0"/>
          <w:sz w:val="24"/>
        </w:rPr>
        <w:t>*杠杆约束伤害的是风险偏好较高的一端。*</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其二——也是本节最重要的发现——</w:t>
      </w:r>
      <w:r>
        <w:rPr>
          <w:rFonts w:ascii="Times New Roman" w:hAnsi="Times New Roman" w:eastAsia="宋体"/>
          <w:b/>
          <w:i w:val="0"/>
          <w:sz w:val="24"/>
        </w:rPr>
        <w:t>叠加回撤控制后，杠杆约束的成本骤降</w:t>
      </w:r>
      <w:r>
        <w:rPr>
          <w:rFonts w:ascii="Times New Roman" w:hAnsi="Times New Roman" w:eastAsia="宋体"/>
          <w:b w:val="0"/>
          <w:i w:val="0"/>
          <w:sz w:val="24"/>
        </w:rPr>
        <w:t>。γ=1 时，无回撤控制下约束成本为2.475pp，叠加回撤控制后降至0.363pp，</w:t>
      </w:r>
      <w:r>
        <w:rPr>
          <w:rFonts w:ascii="Times New Roman" w:hAnsi="Times New Roman" w:eastAsia="宋体"/>
          <w:b/>
          <w:i w:val="0"/>
          <w:sz w:val="24"/>
        </w:rPr>
        <w:t>降幅85%</w:t>
      </w:r>
      <w:r>
        <w:rPr>
          <w:rFonts w:ascii="Times New Roman" w:hAnsi="Times New Roman" w:eastAsia="宋体"/>
          <w:b w:val="0"/>
          <w:i w:val="0"/>
          <w:sz w:val="24"/>
        </w:rPr>
        <w:t>。图2的A面板直观展示了这一点：有回撤控制的曲线几乎贴着零轴。</w:t>
      </w:r>
    </w:p>
    <w:p>
      <w:pPr>
        <w:spacing w:before="240" w:after="100" w:line="360" w:lineRule="auto"/>
      </w:pPr>
      <w:r>
        <w:rPr>
          <w:rFonts w:ascii="Times New Roman" w:hAnsi="Times New Roman" w:eastAsia="黑体"/>
          <w:b/>
          <w:i w:val="0"/>
          <w:sz w:val="26"/>
        </w:rPr>
        <w:t>7.3 度量二：收益口径</w:t>
      </w:r>
    </w:p>
    <w:p>
      <w:pPr>
        <w:spacing w:before="0" w:after="60" w:line="360" w:lineRule="auto"/>
        <w:ind w:firstLine="480"/>
      </w:pPr>
      <w:r>
        <w:rPr>
          <w:rFonts w:ascii="Times New Roman" w:hAnsi="Times New Roman" w:eastAsia="宋体"/>
          <w:b w:val="0"/>
          <w:i w:val="0"/>
          <w:sz w:val="24"/>
        </w:rPr>
        <w:t>对"固收+"产品而言，客户约束通常以"最大回撤不超过某一阈值"来表述。因此更贴近实务的度量是：给定回撤上限，两类约束集各自能达到的最大年化收益。</w:t>
      </w:r>
    </w:p>
    <w:p>
      <w:pPr>
        <w:spacing w:before="200" w:after="60" w:line="276" w:lineRule="auto"/>
        <w:jc w:val="center"/>
      </w:pPr>
      <w:r>
        <w:rPr>
          <w:rFonts w:ascii="Times New Roman" w:hAnsi="Times New Roman" w:eastAsia="黑体"/>
          <w:b/>
          <w:i w:val="0"/>
          <w:sz w:val="21"/>
        </w:rPr>
        <w:t>表18　给定回撤上限下的最大年化收益</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回撤上限</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约束成本(pp)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σ=10%，DC开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7.19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σ=8%，DC开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−0.09</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σ=5.5%，DC关</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7.73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σ=15%，DC开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+0.29</w:t>
            </w:r>
          </w:p>
        </w:tc>
      </w:tr>
    </w:tbl>
    <w:p>
      <w:pPr>
        <w:spacing w:before="0" w:after="60" w:line="360" w:lineRule="auto"/>
        <w:ind w:firstLine="480"/>
      </w:pPr>
      <w:r>
        <w:rPr>
          <w:rFonts w:ascii="Times New Roman" w:hAnsi="Times New Roman" w:eastAsia="宋体"/>
          <w:b w:val="0"/>
          <w:i w:val="0"/>
          <w:sz w:val="24"/>
        </w:rPr>
        <w:t>结果清晰：</w:t>
      </w:r>
      <w:r>
        <w:rPr>
          <w:rFonts w:ascii="Times New Roman" w:hAnsi="Times New Roman" w:eastAsia="宋体"/>
          <w:b/>
          <w:i w:val="0"/>
          <w:sz w:val="24"/>
        </w:rPr>
        <w:t>在回撤上限不超过6%的区间内，杠杆不带来任何收益优势（0.00pp与−0.09pp）</w:t>
      </w:r>
      <w:r>
        <w:rPr>
          <w:rFonts w:ascii="Times New Roman" w:hAnsi="Times New Roman" w:eastAsia="宋体"/>
          <w:b w:val="0"/>
          <w:i w:val="0"/>
          <w:sz w:val="24"/>
        </w:rPr>
        <w:t>。只有把回撤容忍度放宽到8%，机构才获得0.29pp的优势。</w:t>
      </w:r>
    </w:p>
    <w:p>
      <w:pPr>
        <w:spacing w:before="0" w:after="60" w:line="360" w:lineRule="auto"/>
        <w:ind w:firstLine="480"/>
      </w:pPr>
      <w:r>
        <w:rPr>
          <w:rFonts w:ascii="Times New Roman" w:hAnsi="Times New Roman" w:eastAsia="宋体"/>
          <w:b w:val="0"/>
          <w:i w:val="0"/>
          <w:sz w:val="24"/>
        </w:rPr>
        <w:t>需要说明，回撤上限≤4%在本样本内对两类约束集均不可行——即便将目标波动压到3%，最大回撤仍达−4.14%。这一"可行性边界"本身具有实务价值：它提示以"固收+"为代表的低回撤产品，在纯多资产权益框架下难以承诺4%以内的最大回撤，因而必须借助久期与信用等非权益手段，这也从侧面印证了引言所引《经济参考报》观察到的行业现象。</w:t>
      </w:r>
    </w:p>
    <w:p>
      <w:pPr>
        <w:spacing w:before="240" w:after="100" w:line="360" w:lineRule="auto"/>
      </w:pPr>
      <w:r>
        <w:rPr>
          <w:rFonts w:ascii="Times New Roman" w:hAnsi="Times New Roman" w:eastAsia="黑体"/>
          <w:b/>
          <w:i w:val="0"/>
          <w:sz w:val="26"/>
        </w:rPr>
        <w:t>7.4 度量三：风险口径</w:t>
      </w:r>
    </w:p>
    <w:p>
      <w:pPr>
        <w:spacing w:before="0" w:after="60" w:line="360" w:lineRule="auto"/>
        <w:ind w:firstLine="480"/>
      </w:pPr>
      <w:r>
        <w:rPr>
          <w:rFonts w:ascii="Times New Roman" w:hAnsi="Times New Roman" w:eastAsia="宋体"/>
          <w:b w:val="0"/>
          <w:i w:val="0"/>
          <w:sz w:val="24"/>
        </w:rPr>
        <w:t>第三种度量从相反方向提问：要达到给定收益目标，两类约束集各自必须承担多深的回撤？</w:t>
      </w:r>
    </w:p>
    <w:p>
      <w:pPr>
        <w:spacing w:before="200" w:after="60" w:line="276" w:lineRule="auto"/>
        <w:jc w:val="center"/>
      </w:pPr>
      <w:r>
        <w:rPr>
          <w:rFonts w:ascii="Times New Roman" w:hAnsi="Times New Roman" w:eastAsia="黑体"/>
          <w:b/>
          <w:i w:val="0"/>
          <w:sz w:val="21"/>
        </w:rPr>
        <w:t>表19　给定收益目标下的最小回撤</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收益目标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差异(pp)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−14.48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−12.72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1.76</w:t>
            </w:r>
          </w:p>
        </w:tc>
      </w:tr>
    </w:tbl>
    <w:p>
      <w:pPr>
        <w:spacing w:before="0" w:after="60" w:line="360" w:lineRule="auto"/>
        <w:ind w:firstLine="480"/>
      </w:pPr>
      <w:r>
        <w:rPr>
          <w:rFonts w:ascii="Times New Roman" w:hAnsi="Times New Roman" w:eastAsia="宋体"/>
          <w:b/>
          <w:i w:val="0"/>
          <w:sz w:val="24"/>
        </w:rPr>
        <w:t>在收益目标不超过6%的区间内，两类约束集所需承担的最小回撤完全相同（−4.02%与−4.15%）</w:t>
      </w:r>
      <w:r>
        <w:rPr>
          <w:rFonts w:ascii="Times New Roman" w:hAnsi="Times New Roman" w:eastAsia="宋体"/>
          <w:b w:val="0"/>
          <w:i w:val="0"/>
          <w:sz w:val="24"/>
        </w:rPr>
        <w:t>。杠杆的价值要到收益目标提高至10%时才显现——此时 Ē=2 可节省1.76个百分点的最大回撤（图2的B面板）。</w:t>
      </w:r>
    </w:p>
    <w:p>
      <w:pPr>
        <w:spacing w:before="200" w:after="60" w:line="240" w:lineRule="auto"/>
        <w:jc w:val="center"/>
      </w:pPr>
      <w:r>
        <w:drawing>
          <wp:inline xmlns:a="http://schemas.openxmlformats.org/drawingml/2006/main" xmlns:pic="http://schemas.openxmlformats.org/drawingml/2006/picture">
            <wp:extent cx="5277600" cy="1937074"/>
            <wp:docPr id="3" name="Picture 3"/>
            <wp:cNvGraphicFramePr>
              <a:graphicFrameLocks noChangeAspect="1"/>
            </wp:cNvGraphicFramePr>
            <a:graphic>
              <a:graphicData uri="http://schemas.openxmlformats.org/drawingml/2006/picture">
                <pic:pic>
                  <pic:nvPicPr>
                    <pic:cNvPr id="0" name="docx_fig2.png"/>
                    <pic:cNvPicPr/>
                  </pic:nvPicPr>
                  <pic:blipFill>
                    <a:blip r:embed="rId13"/>
                    <a:stretch>
                      <a:fillRect/>
                    </a:stretch>
                  </pic:blipFill>
                  <pic:spPr>
                    <a:xfrm>
                      <a:off x="0" y="0"/>
                      <a:ext cx="5277600" cy="1937074"/>
                    </a:xfrm>
                    <a:prstGeom prst="rect"/>
                  </pic:spPr>
                </pic:pic>
              </a:graphicData>
            </a:graphic>
          </wp:inline>
        </w:drawing>
      </w:r>
    </w:p>
    <w:p>
      <w:pPr>
        <w:spacing w:before="40" w:after="200" w:line="276" w:lineRule="auto"/>
        <w:jc w:val="center"/>
      </w:pPr>
      <w:r>
        <w:rPr>
          <w:rFonts w:ascii="Times New Roman" w:hAnsi="Times New Roman" w:eastAsia="黑体"/>
          <w:b/>
          <w:i w:val="0"/>
          <w:sz w:val="21"/>
        </w:rPr>
        <w:t>图2　约束成本的量化：回撤控制“消灭”了杠杆的价值</w:t>
      </w:r>
    </w:p>
    <w:p>
      <w:pPr>
        <w:spacing w:before="240" w:after="100" w:line="360" w:lineRule="auto"/>
      </w:pPr>
      <w:r>
        <w:rPr>
          <w:rFonts w:ascii="Times New Roman" w:hAnsi="Times New Roman" w:eastAsia="黑体"/>
          <w:b/>
          <w:i w:val="0"/>
          <w:sz w:val="26"/>
        </w:rPr>
        <w:t>7.5 一个反直觉的发现：回撤控制"消灭"了杠杆的价值</w:t>
      </w:r>
    </w:p>
    <w:p>
      <w:pPr>
        <w:spacing w:before="0" w:after="60" w:line="360" w:lineRule="auto"/>
        <w:ind w:firstLine="480"/>
      </w:pPr>
      <w:r>
        <w:rPr>
          <w:rFonts w:ascii="Times New Roman" w:hAnsi="Times New Roman" w:eastAsia="宋体"/>
          <w:b w:val="0"/>
          <w:i w:val="0"/>
          <w:sz w:val="24"/>
        </w:rPr>
        <w:t>将三种度量合并观察，可以得到一个本文在设计研究时未曾预见、但对政策讨论至关重要的结论。</w:t>
      </w:r>
    </w:p>
    <w:p>
      <w:pPr>
        <w:spacing w:before="0" w:after="60" w:line="360" w:lineRule="auto"/>
        <w:ind w:firstLine="480"/>
      </w:pPr>
      <w:r>
        <w:rPr>
          <w:rFonts w:ascii="Times New Roman" w:hAnsi="Times New Roman" w:eastAsia="宋体"/>
          <w:b w:val="0"/>
          <w:i w:val="0"/>
          <w:sz w:val="24"/>
        </w:rPr>
        <w:t>在无回撤控制时，杠杆约束确实是昂贵的：γ=1 口径下达2.475pp，且集中体现在高目标波动区。但一旦叠加回撤控制，约束成本降至0.363pp（降幅85%）；在收益口径下降至0.00pp（回撤上限5%）乃至−0.09pp（回撤上限6%）；在风险口径下降至0.00pp（收益目标≤6%）。</w:t>
      </w:r>
    </w:p>
    <w:p>
      <w:pPr>
        <w:spacing w:before="0" w:after="60" w:line="360" w:lineRule="auto"/>
        <w:ind w:firstLine="480"/>
      </w:pPr>
      <w:r>
        <w:rPr>
          <w:rFonts w:ascii="Times New Roman" w:hAnsi="Times New Roman" w:eastAsia="宋体"/>
          <w:b/>
          <w:i w:val="0"/>
          <w:sz w:val="24"/>
        </w:rPr>
        <w:t>机制解释。</w:t>
      </w:r>
      <w:r>
        <w:rPr>
          <w:rFonts w:ascii="Times New Roman" w:hAnsi="Times New Roman" w:eastAsia="宋体"/>
          <w:b w:val="0"/>
          <w:i w:val="0"/>
          <w:sz w:val="24"/>
        </w:rPr>
        <w:t xml:space="preserve"> 回撤控制把最优配置"锁"在了低目标波动区。表17显示，开启回撤控制后，零售投资者的最优 σ</w:t>
      </w:r>
      <w:r>
        <w:rPr>
          <w:rFonts w:ascii="Times New Roman" w:hAnsi="Times New Roman" w:eastAsia="宋体"/>
          <w:b w:val="0"/>
          <w:i w:val="0"/>
          <w:sz w:val="24"/>
        </w:rPr>
        <w:t>* 稳定在10%附近（对应最大回撤−5.54%），而无回撤控制时为15%（对应回撤−21.90%）。而在 σ*</w:t>
      </w:r>
      <w:r>
        <w:rPr>
          <w:rFonts w:ascii="Times New Roman" w:hAnsi="Times New Roman" w:eastAsia="宋体"/>
          <w:b w:val="0"/>
          <w:i w:val="0"/>
          <w:sz w:val="24"/>
        </w:rPr>
        <w:t xml:space="preserve"> 较小、需求敞口不足1的区间内，Ē=1 的截断根本不绑定，杠杆上限形同虚设。</w:t>
      </w:r>
      <w:r>
        <w:rPr>
          <w:rFonts w:ascii="Times New Roman" w:hAnsi="Times New Roman" w:eastAsia="宋体"/>
          <w:b/>
          <w:i w:val="0"/>
          <w:sz w:val="24"/>
        </w:rPr>
        <w:t>换言之，回撤控制已经替投资者完成了去杠杆，使得"能否使用杠杆"这一差别失去了意义。</w:t>
      </w:r>
    </w:p>
    <w:p>
      <w:pPr>
        <w:spacing w:before="0" w:after="60" w:line="360" w:lineRule="auto"/>
        <w:ind w:firstLine="480"/>
      </w:pPr>
      <w:r>
        <w:rPr>
          <w:rFonts w:ascii="Times New Roman" w:hAnsi="Times New Roman" w:eastAsia="宋体"/>
          <w:b w:val="0"/>
          <w:i w:val="0"/>
          <w:sz w:val="24"/>
        </w:rPr>
        <w:t>这一发现有三重含义。</w:t>
      </w:r>
    </w:p>
    <w:p>
      <w:pPr>
        <w:spacing w:before="0" w:after="60" w:line="360" w:lineRule="auto"/>
        <w:ind w:firstLine="480"/>
      </w:pPr>
      <w:r>
        <w:rPr>
          <w:rFonts w:ascii="Times New Roman" w:hAnsi="Times New Roman" w:eastAsia="宋体"/>
          <w:b/>
          <w:i w:val="0"/>
          <w:sz w:val="24"/>
        </w:rPr>
        <w:t>第一，它修正了"杠杆约束必然有害"的直觉。</w:t>
      </w:r>
      <w:r>
        <w:rPr>
          <w:rFonts w:ascii="Times New Roman" w:hAnsi="Times New Roman" w:eastAsia="宋体"/>
          <w:b w:val="0"/>
          <w:i w:val="0"/>
          <w:sz w:val="24"/>
        </w:rPr>
        <w:t xml:space="preserve"> 在回撤被严格约束的现实场景中，扩大零售投资者的杠杆可得性，其福利收益接近于零。这提示政策讨论的焦点应从"是否放开杠杆"转向"回撤约束是否被合理设定"。</w:t>
      </w:r>
    </w:p>
    <w:p>
      <w:pPr>
        <w:spacing w:before="0" w:after="60" w:line="360" w:lineRule="auto"/>
        <w:ind w:firstLine="480"/>
      </w:pPr>
      <w:r>
        <w:rPr>
          <w:rFonts w:ascii="Times New Roman" w:hAnsi="Times New Roman" w:eastAsia="宋体"/>
          <w:b/>
          <w:i w:val="0"/>
          <w:sz w:val="24"/>
        </w:rPr>
        <w:t>第二，它凸显了回撤控制的真实成本。</w:t>
      </w:r>
      <w:r>
        <w:rPr>
          <w:rFonts w:ascii="Times New Roman" w:hAnsi="Times New Roman" w:eastAsia="宋体"/>
          <w:b w:val="0"/>
          <w:i w:val="0"/>
          <w:sz w:val="24"/>
        </w:rPr>
        <w:t xml:space="preserve"> 表17同时显示，在 Ē=1 下开启回撤控制，最优效用从10.914降至7.120（γ=1口径），</w:t>
      </w:r>
      <w:r>
        <w:rPr>
          <w:rFonts w:ascii="Times New Roman" w:hAnsi="Times New Roman" w:eastAsia="宋体"/>
          <w:b/>
          <w:i w:val="0"/>
          <w:sz w:val="24"/>
        </w:rPr>
        <w:t>成本高达3.794pp</w:t>
      </w:r>
      <w:r>
        <w:rPr>
          <w:rFonts w:ascii="Times New Roman" w:hAnsi="Times New Roman" w:eastAsia="宋体"/>
          <w:b w:val="0"/>
          <w:i w:val="0"/>
          <w:sz w:val="24"/>
        </w:rPr>
        <w:t>——是同口径下杠杆约束成本（0.363pp）的</w:t>
      </w:r>
      <w:r>
        <w:rPr>
          <w:rFonts w:ascii="Times New Roman" w:hAnsi="Times New Roman" w:eastAsia="宋体"/>
          <w:b/>
          <w:i w:val="0"/>
          <w:sz w:val="24"/>
        </w:rPr>
        <w:t>10.4倍</w:t>
      </w:r>
      <w:r>
        <w:rPr>
          <w:rFonts w:ascii="Times New Roman" w:hAnsi="Times New Roman" w:eastAsia="宋体"/>
          <w:b w:val="0"/>
          <w:i w:val="0"/>
          <w:sz w:val="24"/>
        </w:rPr>
        <w:t>。这意味着，在"不能使用杠杆"与"必须控制回撤"这两重约束中，</w:t>
      </w:r>
      <w:r>
        <w:rPr>
          <w:rFonts w:ascii="Times New Roman" w:hAnsi="Times New Roman" w:eastAsia="宋体"/>
          <w:b/>
          <w:i w:val="0"/>
          <w:sz w:val="24"/>
        </w:rPr>
        <w:t>后者才是福利损失的主要来源</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第三，它给出了一个可操作的优先序。</w:t>
      </w:r>
      <w:r>
        <w:rPr>
          <w:rFonts w:ascii="Times New Roman" w:hAnsi="Times New Roman" w:eastAsia="宋体"/>
          <w:b w:val="0"/>
          <w:i w:val="0"/>
          <w:sz w:val="24"/>
        </w:rPr>
        <w:t xml:space="preserve"> 对受 Ē=1 约束的投资者，改善福利的排序是：①审慎设定回撤阈值（潜在收益3.794pp）→ ②选择适当的目标波动（σ*∈[4.5%, 6%]区间内收益-回撤权衡较优）→ ③争取杠杆（潜在收益0.363pp）。这与当前行业实践中"优先争取仓位弹性"的取向恰好相反。</w:t>
      </w:r>
    </w:p>
    <w:p>
      <w:pPr>
        <w:spacing w:before="240" w:after="100" w:line="360" w:lineRule="auto"/>
      </w:pPr>
      <w:r>
        <w:rPr>
          <w:rFonts w:ascii="Times New Roman" w:hAnsi="Times New Roman" w:eastAsia="黑体"/>
          <w:b/>
          <w:i w:val="0"/>
          <w:sz w:val="26"/>
        </w:rPr>
        <w:t>7.6 数字之外的两点提醒</w:t>
      </w:r>
    </w:p>
    <w:p>
      <w:pPr>
        <w:spacing w:before="0" w:after="60" w:line="360" w:lineRule="auto"/>
        <w:ind w:firstLine="480"/>
      </w:pPr>
      <w:r>
        <w:rPr>
          <w:rFonts w:ascii="Times New Roman" w:hAnsi="Times New Roman" w:eastAsia="宋体"/>
          <w:b/>
          <w:i w:val="0"/>
          <w:sz w:val="24"/>
        </w:rPr>
        <w:t>其一，上述比较均以"最优配置"为对象。</w:t>
      </w:r>
      <w:r>
        <w:rPr>
          <w:rFonts w:ascii="Times New Roman" w:hAnsi="Times New Roman" w:eastAsia="宋体"/>
          <w:b w:val="0"/>
          <w:i w:val="0"/>
          <w:sz w:val="24"/>
        </w:rPr>
        <w:t xml:space="preserve"> 若投资者实际选择了次优参数，其承受的成本将显著高于表中数字。例如 Ē=1、σ</w:t>
      </w:r>
      <w:r>
        <w:rPr>
          <w:rFonts w:ascii="Times New Roman" w:hAnsi="Times New Roman" w:eastAsia="宋体"/>
          <w:b w:val="0"/>
          <w:i w:val="0"/>
          <w:sz w:val="24"/>
        </w:rPr>
        <w:t>*=12%、DC开的组合年化仅5.37%、回撤−6.06%，而同约束集的最优组合为7.28%、−5.54%，差距达1.91pp。*</w:t>
      </w:r>
      <w:r>
        <w:rPr>
          <w:rFonts w:ascii="Times New Roman" w:hAnsi="Times New Roman" w:eastAsia="宋体"/>
          <w:b w:val="0"/>
          <w:i w:val="0"/>
          <w:sz w:val="24"/>
        </w:rPr>
        <w:t>*在约束条件下，选错参数的代价被放大了*</w:t>
      </w:r>
      <w:r>
        <w:rPr>
          <w:rFonts w:ascii="Times New Roman" w:hAnsi="Times New Roman" w:eastAsia="宋体"/>
          <w:b w:val="0"/>
          <w:i w:val="0"/>
          <w:sz w:val="24"/>
        </w:rPr>
        <w:t>*——这与第6.3节"参数平原"的发现并不矛盾：参数平原说明的是最优解附近不存在过拟合尖峰，而本节说明的是远离最优解时惩罚更重。</w:t>
      </w:r>
    </w:p>
    <w:p>
      <w:pPr>
        <w:spacing w:before="0" w:after="60" w:line="360" w:lineRule="auto"/>
        <w:ind w:firstLine="480"/>
      </w:pPr>
      <w:r>
        <w:rPr>
          <w:rFonts w:ascii="Times New Roman" w:hAnsi="Times New Roman" w:eastAsia="宋体"/>
          <w:b/>
          <w:i w:val="0"/>
          <w:sz w:val="24"/>
        </w:rPr>
        <w:t>其二，成本度量未包含交易摩擦。</w:t>
      </w:r>
      <w:r>
        <w:rPr>
          <w:rFonts w:ascii="Times New Roman" w:hAnsi="Times New Roman" w:eastAsia="宋体"/>
          <w:b w:val="0"/>
          <w:i w:val="0"/>
          <w:sz w:val="24"/>
        </w:rPr>
        <w:t xml:space="preserve"> 本文假设可按收盘价成交、冲击成本为零，这对百万级以下资金成立。考虑到回撤控制会提高换手（本样本内年换手率最高达3.03倍），纳入摩擦成本只会进一步放大回撤控制的代价，而不会改变本节结论的方向。</w:t>
      </w:r>
    </w:p>
    <w:p>
      <w:pPr>
        <w:spacing w:before="320" w:after="200" w:line="360" w:lineRule="auto"/>
        <w:jc w:val="center"/>
      </w:pPr>
      <w:r>
        <w:rPr>
          <w:rFonts w:ascii="Times New Roman" w:hAnsi="Times New Roman" w:eastAsia="黑体"/>
          <w:b/>
          <w:i w:val="0"/>
          <w:sz w:val="30"/>
        </w:rPr>
        <w:t>八、结论与启示</w:t>
      </w:r>
    </w:p>
    <w:p>
      <w:pPr>
        <w:spacing w:before="240" w:after="100" w:line="360" w:lineRule="auto"/>
      </w:pPr>
      <w:r>
        <w:rPr>
          <w:rFonts w:ascii="Times New Roman" w:hAnsi="Times New Roman" w:eastAsia="黑体"/>
          <w:b/>
          <w:i w:val="0"/>
          <w:sz w:val="26"/>
        </w:rPr>
        <w:t>8.1 主要结论</w:t>
      </w:r>
    </w:p>
    <w:p>
      <w:pPr>
        <w:spacing w:before="0" w:after="60" w:line="360" w:lineRule="auto"/>
        <w:ind w:firstLine="480"/>
      </w:pPr>
      <w:r>
        <w:rPr>
          <w:rFonts w:ascii="Times New Roman" w:hAnsi="Times New Roman" w:eastAsia="宋体"/>
          <w:b w:val="0"/>
          <w:i w:val="0"/>
          <w:sz w:val="24"/>
        </w:rPr>
        <w:t>本文在 Moreira and Muir（2017）与 Cederburg et al.（2020）关于波动率择时的争论基础上，首次系统考察了</w:t>
      </w:r>
      <w:r>
        <w:rPr>
          <w:rFonts w:ascii="Times New Roman" w:hAnsi="Times New Roman" w:eastAsia="宋体"/>
          <w:b/>
          <w:i w:val="0"/>
          <w:sz w:val="24"/>
        </w:rPr>
        <w:t>无杠杆约束</w:t>
      </w:r>
      <w:r>
        <w:rPr>
          <w:rFonts w:ascii="Times New Roman" w:hAnsi="Times New Roman" w:eastAsia="宋体"/>
          <w:b w:val="0"/>
          <w:i w:val="0"/>
          <w:sz w:val="24"/>
        </w:rPr>
        <w:t>下波动率目标与回撤控制的交互效应。基于中国六类资产13.2年的样本，本文得到五个结论：</w:t>
      </w:r>
    </w:p>
    <w:p>
      <w:pPr>
        <w:spacing w:before="0" w:after="60" w:line="360" w:lineRule="auto"/>
        <w:ind w:firstLine="480"/>
      </w:pPr>
      <w:r>
        <w:rPr>
          <w:rFonts w:ascii="Times New Roman" w:hAnsi="Times New Roman" w:eastAsia="宋体"/>
          <w:b/>
          <w:i w:val="0"/>
          <w:sz w:val="24"/>
        </w:rPr>
        <w:t>第一，回撤控制改变了收益-风险前沿的形状。</w:t>
      </w:r>
      <w:r>
        <w:rPr>
          <w:rFonts w:ascii="Times New Roman" w:hAnsi="Times New Roman" w:eastAsia="宋体"/>
          <w:b w:val="0"/>
          <w:i w:val="0"/>
          <w:sz w:val="24"/>
        </w:rPr>
        <w:t xml:space="preserve"> 单独使用波动率目标时，年化收益随目标波动单调递增（3%→12%对应5.48%→11.28%）；叠加回撤控制后，前沿转为单峰，内点最优出现在σ*=5.5%（年化6.47%、最大回撤−4.15%），此后继续提高目标波动，收益不增反降。block bootstrap 确认该内点最优统计显著（ΔSharpe=+0.439，p=0.012）。</w:t>
      </w:r>
    </w:p>
    <w:p>
      <w:pPr>
        <w:spacing w:before="0" w:after="60" w:line="360" w:lineRule="auto"/>
        <w:ind w:firstLine="480"/>
      </w:pPr>
      <w:r>
        <w:rPr>
          <w:rFonts w:ascii="Times New Roman" w:hAnsi="Times New Roman" w:eastAsia="宋体"/>
          <w:b/>
          <w:i w:val="0"/>
          <w:sz w:val="24"/>
        </w:rPr>
        <w:t>第二，交互效应在量化上接近完全抵消。</w:t>
      </w:r>
      <w:r>
        <w:rPr>
          <w:rFonts w:ascii="Times New Roman" w:hAnsi="Times New Roman" w:eastAsia="宋体"/>
          <w:b w:val="0"/>
          <w:i w:val="0"/>
          <w:sz w:val="24"/>
        </w:rPr>
        <w:t xml:space="preserve"> 交互项系数为−0.6209（p&lt;0.001），抵消了主效应+0.6479的95.8%。值得注意的是，交互效应在夏普与卡玛比率上不显著——回撤控制"改善"了风险调整指标，"损害"了绝对收益。这一分离对以绝对收益为目标的资金具有直接含义。</w:t>
      </w:r>
    </w:p>
    <w:p>
      <w:pPr>
        <w:spacing w:before="0" w:after="60" w:line="360" w:lineRule="auto"/>
        <w:ind w:firstLine="480"/>
      </w:pPr>
      <w:r>
        <w:rPr>
          <w:rFonts w:ascii="Times New Roman" w:hAnsi="Times New Roman" w:eastAsia="宋体"/>
          <w:b/>
          <w:i w:val="0"/>
          <w:sz w:val="24"/>
        </w:rPr>
        <w:t>第三，机制是风险预算被吞噬，且发生在错误时点。</w:t>
      </w:r>
      <w:r>
        <w:rPr>
          <w:rFonts w:ascii="Times New Roman" w:hAnsi="Times New Roman" w:eastAsia="宋体"/>
          <w:b w:val="0"/>
          <w:i w:val="0"/>
          <w:sz w:val="24"/>
        </w:rPr>
        <w:t xml:space="preserve"> 敞口实现率从0.831降至0.475；目标敞口提升92%仅换来有效敞口提升9.7%。收益归因显示，被吞噬的主要是敞口效应，同时择时效应因信号冲销而腰斩。事件研究进一步显示，重度减仓期之后250个交易日的收益达8.94%，高于未减仓期的8.01%——</w:t>
      </w:r>
      <w:r>
        <w:rPr>
          <w:rFonts w:ascii="Times New Roman" w:hAnsi="Times New Roman" w:eastAsia="宋体"/>
          <w:b/>
          <w:i w:val="0"/>
          <w:sz w:val="24"/>
        </w:rPr>
        <w:t>削减恰好发生在反弹最丰厚的前夜</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第四，该陷阱无法通过放松杠杆化解。</w:t>
      </w:r>
      <w:r>
        <w:rPr>
          <w:rFonts w:ascii="Times New Roman" w:hAnsi="Times New Roman" w:eastAsia="宋体"/>
          <w:b w:val="0"/>
          <w:i w:val="0"/>
          <w:sz w:val="24"/>
        </w:rPr>
        <w:t xml:space="preserve"> 将杠杆上限从1放松至2后，内点最优依然存在（末端衰减仅从0.67pp降至0.14pp）。原因是回撤控制的削减是乘性的，杠杆只能放大第一层的产出。</w:t>
      </w:r>
    </w:p>
    <w:p>
      <w:pPr>
        <w:spacing w:before="0" w:after="60" w:line="360" w:lineRule="auto"/>
        <w:ind w:firstLine="480"/>
      </w:pPr>
      <w:r>
        <w:rPr>
          <w:rFonts w:ascii="Times New Roman" w:hAnsi="Times New Roman" w:eastAsia="宋体"/>
          <w:b/>
          <w:i w:val="0"/>
          <w:sz w:val="24"/>
        </w:rPr>
        <w:t>第五，约束成本的量化结果逆转了关于杠杆的直觉。</w:t>
      </w:r>
      <w:r>
        <w:rPr>
          <w:rFonts w:ascii="Times New Roman" w:hAnsi="Times New Roman" w:eastAsia="宋体"/>
          <w:b w:val="0"/>
          <w:i w:val="0"/>
          <w:sz w:val="24"/>
        </w:rPr>
        <w:t xml:space="preserve"> 第七节的三种口径一致显示：在回撤被严格约束的现实场景中，杠杆约束的福利成本接近于零（γ=1 效用口径下仅0.363pp；回撤上限5%时收益口径下为0.00pp；收益目标≤6%时风险口径下为0.00pp），而回撤控制本身的成本高达3.794pp，是前者的10.4倍。</w:t>
      </w:r>
      <w:r>
        <w:rPr>
          <w:rFonts w:ascii="Times New Roman" w:hAnsi="Times New Roman" w:eastAsia="宋体"/>
          <w:b/>
          <w:i w:val="0"/>
          <w:sz w:val="24"/>
        </w:rPr>
        <w:t>在"不能使用杠杆"与"必须控制回撤"这两重约束中，后者才是福利损失的主要来源。</w:t>
      </w:r>
    </w:p>
    <w:p>
      <w:pPr>
        <w:spacing w:before="0" w:after="60" w:line="360" w:lineRule="auto"/>
        <w:ind w:firstLine="480"/>
      </w:pPr>
      <w:r>
        <w:rPr>
          <w:rFonts w:ascii="Times New Roman" w:hAnsi="Times New Roman" w:eastAsia="宋体"/>
          <w:b w:val="0"/>
          <w:i w:val="0"/>
          <w:sz w:val="24"/>
        </w:rPr>
        <w:t>此外，第6.6节的检验表明，即使完全关闭战术信号、仅保留纯风险 overlay，前沿分岔依然存在（末端衰减1.12pp），这排除了"分岔由特定信号失效所致"的替代解释。</w:t>
      </w:r>
    </w:p>
    <w:p>
      <w:pPr>
        <w:spacing w:before="240" w:after="100" w:line="360" w:lineRule="auto"/>
      </w:pPr>
      <w:r>
        <w:rPr>
          <w:rFonts w:ascii="Times New Roman" w:hAnsi="Times New Roman" w:eastAsia="黑体"/>
          <w:b/>
          <w:i w:val="0"/>
          <w:sz w:val="26"/>
        </w:rPr>
        <w:t>8.2 理论贡献</w:t>
      </w:r>
    </w:p>
    <w:p>
      <w:pPr>
        <w:spacing w:before="0" w:after="60" w:line="360" w:lineRule="auto"/>
        <w:ind w:firstLine="480"/>
      </w:pPr>
      <w:r>
        <w:rPr>
          <w:rFonts w:ascii="Times New Roman" w:hAnsi="Times New Roman" w:eastAsia="宋体"/>
          <w:b w:val="0"/>
          <w:i w:val="0"/>
          <w:sz w:val="24"/>
        </w:rPr>
        <w:t>本文的理论贡献在于将"杠杆约束"引入波动率择时研究。既有文献（Moreira and Muir, 2017; Cederburg et al., 2020; Bongaerts et al., 2020）均以可自由加杠杆为前提，其"低波动加仓"的收益来源本质上是杠杆收益。本文证明，当 Ē=1 时，缩放函数被截断，波动率目标退化为单向减仓工具，其与回撤控制的叠加便产生系统性的收益侵蚀。这解释了为何实务中"波动率目标效果不稳定"——</w:t>
      </w:r>
      <w:r>
        <w:rPr>
          <w:rFonts w:ascii="Times New Roman" w:hAnsi="Times New Roman" w:eastAsia="宋体"/>
          <w:b/>
          <w:i w:val="0"/>
          <w:sz w:val="24"/>
        </w:rPr>
        <w:t>效果差异的根源可能不在市场，而在约束条件</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8.3 实践与政策启示</w:t>
      </w:r>
    </w:p>
    <w:p>
      <w:pPr>
        <w:spacing w:before="0" w:after="60" w:line="360" w:lineRule="auto"/>
        <w:ind w:firstLine="480"/>
      </w:pPr>
      <w:r>
        <w:rPr>
          <w:rFonts w:ascii="Times New Roman" w:hAnsi="Times New Roman" w:eastAsia="宋体"/>
          <w:b/>
          <w:i w:val="0"/>
          <w:sz w:val="24"/>
        </w:rPr>
        <w:t>对零售投资者：</w:t>
      </w:r>
      <w:r>
        <w:rPr>
          <w:rFonts w:ascii="Times New Roman" w:hAnsi="Times New Roman" w:eastAsia="宋体"/>
          <w:b w:val="0"/>
          <w:i w:val="0"/>
          <w:sz w:val="24"/>
        </w:rPr>
        <w:t xml:space="preserve"> 本文的结论是明确的——</w:t>
      </w:r>
      <w:r>
        <w:rPr>
          <w:rFonts w:ascii="Times New Roman" w:hAnsi="Times New Roman" w:eastAsia="宋体"/>
          <w:b/>
          <w:i w:val="0"/>
          <w:sz w:val="24"/>
        </w:rPr>
        <w:t>风险预算并非"用得越多越好"</w:t>
      </w:r>
      <w:r>
        <w:rPr>
          <w:rFonts w:ascii="Times New Roman" w:hAnsi="Times New Roman" w:eastAsia="宋体"/>
          <w:b w:val="0"/>
          <w:i w:val="0"/>
          <w:sz w:val="24"/>
        </w:rPr>
        <w:t>。在无法使用杠杆的条件下，叠加多层风控会系统性地侵蚀收益。若以绝对收益为目标，应优先选择"适度目标波动 + 单层风控"，而非"高目标波动 + 多层风控"。本文数据显示，σ</w:t>
      </w:r>
      <w:r>
        <w:rPr>
          <w:rFonts w:ascii="Times New Roman" w:hAnsi="Times New Roman" w:eastAsia="宋体"/>
          <w:b w:val="0"/>
          <w:i w:val="0"/>
          <w:sz w:val="24"/>
        </w:rPr>
        <w:t>*=5.5%配合单层回撤控制的组合（年化6.47%、回撤−4.15%）优于σ*</w:t>
      </w:r>
      <w:r>
        <w:rPr>
          <w:rFonts w:ascii="Times New Roman" w:hAnsi="Times New Roman" w:eastAsia="宋体"/>
          <w:b w:val="0"/>
          <w:i w:val="0"/>
          <w:sz w:val="24"/>
        </w:rPr>
        <w:t>=12%配合双层风控的组合（年化5.37%、回撤−6.06%）。</w:t>
      </w:r>
    </w:p>
    <w:p>
      <w:pPr>
        <w:spacing w:before="0" w:after="60" w:line="360" w:lineRule="auto"/>
        <w:ind w:firstLine="480"/>
      </w:pPr>
      <w:r>
        <w:rPr>
          <w:rFonts w:ascii="Times New Roman" w:hAnsi="Times New Roman" w:eastAsia="宋体"/>
          <w:b/>
          <w:i w:val="0"/>
          <w:sz w:val="24"/>
        </w:rPr>
        <w:t>对"固收+"产品设计：</w:t>
      </w:r>
      <w:r>
        <w:rPr>
          <w:rFonts w:ascii="Times New Roman" w:hAnsi="Times New Roman" w:eastAsia="宋体"/>
          <w:b w:val="0"/>
          <w:i w:val="0"/>
          <w:sz w:val="24"/>
        </w:rPr>
        <w:t xml:space="preserve"> 国内"固收+"产品普遍采用"战略配置→战术择时→资金管理"三层架构，本文的结果提示需要审视第三层（TIPP/回撤控制）与前两层的交互。建议在产品合同中明确"最大回撤约束"与"收益目标"的优先级，避免为追求低回撤而系统性牺牲收益。第七节的表18进一步给出一个可行性边界：在本样本的多资产权益框架下，</w:t>
      </w:r>
      <w:r>
        <w:rPr>
          <w:rFonts w:ascii="Times New Roman" w:hAnsi="Times New Roman" w:eastAsia="宋体"/>
          <w:b/>
          <w:i w:val="0"/>
          <w:sz w:val="24"/>
        </w:rPr>
        <w:t>最大回撤4%以内的目标对任何参数配置均不可行</w:t>
      </w:r>
      <w:r>
        <w:rPr>
          <w:rFonts w:ascii="Times New Roman" w:hAnsi="Times New Roman" w:eastAsia="宋体"/>
          <w:b w:val="0"/>
          <w:i w:val="0"/>
          <w:sz w:val="24"/>
        </w:rPr>
        <w:t>（即便将目标波动压到3%，最大回撤仍达−4.14%）。这意味着若产品的回撤承诺低于4%，其实现必然依赖久期与信用等非权益手段——此时风险并未消失，而是从权益端转移到了信用与流动性端。</w:t>
      </w:r>
    </w:p>
    <w:p>
      <w:pPr>
        <w:spacing w:before="0" w:after="60" w:line="360" w:lineRule="auto"/>
        <w:ind w:firstLine="480"/>
      </w:pPr>
      <w:r>
        <w:rPr>
          <w:rFonts w:ascii="Times New Roman" w:hAnsi="Times New Roman" w:eastAsia="宋体"/>
          <w:b/>
          <w:i w:val="0"/>
          <w:sz w:val="24"/>
        </w:rPr>
        <w:t>对监管与投资者保护：</w:t>
      </w:r>
      <w:r>
        <w:rPr>
          <w:rFonts w:ascii="Times New Roman" w:hAnsi="Times New Roman" w:eastAsia="宋体"/>
          <w:b w:val="0"/>
          <w:i w:val="0"/>
          <w:sz w:val="24"/>
        </w:rPr>
        <w:t xml:space="preserve"> 本文有两项发现与此相关。第一，不能使用杠杆的投资者承受了更严重的回撤控制收益侵蚀（末端衰减0.67pp vs 机构的0.14pp），意味着</w:t>
      </w:r>
      <w:r>
        <w:rPr>
          <w:rFonts w:ascii="Times New Roman" w:hAnsi="Times New Roman" w:eastAsia="宋体"/>
          <w:b/>
          <w:i w:val="0"/>
          <w:sz w:val="24"/>
        </w:rPr>
        <w:t>同一套"稳健"策略，在零售投资者手中与在机构手中效果不同</w:t>
      </w:r>
      <w:r>
        <w:rPr>
          <w:rFonts w:ascii="Times New Roman" w:hAnsi="Times New Roman" w:eastAsia="宋体"/>
          <w:b w:val="0"/>
          <w:i w:val="0"/>
          <w:sz w:val="24"/>
        </w:rPr>
        <w:t>。第二，也是更具政策含义的一项——第七节显示，一旦叠加回撤约束，杠杆约束的福利成本即降至接近于零（γ=1 效用口径0.363pp；回撤上限6%时收益口径−0.09pp；收益目标≤6%时风险口径0.00pp）。这提示：</w:t>
      </w:r>
      <w:r>
        <w:rPr>
          <w:rFonts w:ascii="Times New Roman" w:hAnsi="Times New Roman" w:eastAsia="宋体"/>
          <w:b/>
          <w:i w:val="0"/>
          <w:sz w:val="24"/>
        </w:rPr>
        <w:t>以"放开零售杠杆"改善零售投资者福利的政策思路，在回撤被刚性约束的条件下收效甚微</w:t>
      </w:r>
      <w:r>
        <w:rPr>
          <w:rFonts w:ascii="Times New Roman" w:hAnsi="Times New Roman" w:eastAsia="宋体"/>
          <w:b w:val="0"/>
          <w:i w:val="0"/>
          <w:sz w:val="24"/>
        </w:rPr>
        <w:t>。监管焦点应当转向回撤控制条款本身的合理性与透明度，例如要求管理人在产品说明书中披露回撤控制机制的成本测算与压力测试结果，并明确回撤目标与收益目标的优先序。</w:t>
      </w:r>
    </w:p>
    <w:p>
      <w:pPr>
        <w:spacing w:before="240" w:after="100" w:line="360" w:lineRule="auto"/>
      </w:pPr>
      <w:r>
        <w:rPr>
          <w:rFonts w:ascii="Times New Roman" w:hAnsi="Times New Roman" w:eastAsia="黑体"/>
          <w:b/>
          <w:i w:val="0"/>
          <w:sz w:val="26"/>
        </w:rPr>
        <w:t>8.4 研究局限</w:t>
      </w:r>
    </w:p>
    <w:p>
      <w:pPr>
        <w:spacing w:before="0" w:after="60" w:line="360" w:lineRule="auto"/>
        <w:ind w:firstLine="480"/>
      </w:pPr>
      <w:r>
        <w:rPr>
          <w:rFonts w:ascii="Times New Roman" w:hAnsi="Times New Roman" w:eastAsia="宋体"/>
          <w:b w:val="0"/>
          <w:i w:val="0"/>
          <w:sz w:val="24"/>
        </w:rPr>
        <w:t>本文存在四个局限，需在后续研究中处理：</w:t>
      </w:r>
    </w:p>
    <w:p>
      <w:pPr>
        <w:spacing w:before="0" w:after="60" w:line="360" w:lineRule="auto"/>
        <w:ind w:firstLine="480"/>
      </w:pPr>
      <w:r>
        <w:rPr>
          <w:rFonts w:ascii="Times New Roman" w:hAnsi="Times New Roman" w:eastAsia="宋体"/>
          <w:b w:val="0"/>
          <w:i w:val="0"/>
          <w:sz w:val="24"/>
        </w:rPr>
        <w:t>其一，</w:t>
      </w:r>
      <w:r>
        <w:rPr>
          <w:rFonts w:ascii="Times New Roman" w:hAnsi="Times New Roman" w:eastAsia="宋体"/>
          <w:b/>
          <w:i w:val="0"/>
          <w:sz w:val="24"/>
        </w:rPr>
        <w:t>样本长度与单一市场</w:t>
      </w:r>
      <w:r>
        <w:rPr>
          <w:rFonts w:ascii="Times New Roman" w:hAnsi="Times New Roman" w:eastAsia="宋体"/>
          <w:b w:val="0"/>
          <w:i w:val="0"/>
          <w:sz w:val="24"/>
        </w:rPr>
        <w:t>。13.2年的样本虽覆盖多轮牛熊，但仍不足以完全排除路径依赖；且结论仅基于中国市场，跨国验证有待展开。</w:t>
      </w:r>
    </w:p>
    <w:p>
      <w:pPr>
        <w:spacing w:before="0" w:after="60" w:line="360" w:lineRule="auto"/>
        <w:ind w:firstLine="480"/>
      </w:pPr>
      <w:r>
        <w:rPr>
          <w:rFonts w:ascii="Times New Roman" w:hAnsi="Times New Roman" w:eastAsia="宋体"/>
          <w:b w:val="0"/>
          <w:i w:val="0"/>
          <w:sz w:val="24"/>
        </w:rPr>
        <w:t>其二，</w:t>
      </w:r>
      <w:r>
        <w:rPr>
          <w:rFonts w:ascii="Times New Roman" w:hAnsi="Times New Roman" w:eastAsia="宋体"/>
          <w:b/>
          <w:i w:val="0"/>
          <w:sz w:val="24"/>
        </w:rPr>
        <w:t>模拟与实证的差异</w:t>
      </w:r>
      <w:r>
        <w:rPr>
          <w:rFonts w:ascii="Times New Roman" w:hAnsi="Times New Roman" w:eastAsia="宋体"/>
          <w:b w:val="0"/>
          <w:i w:val="0"/>
          <w:sz w:val="24"/>
        </w:rPr>
        <w:t>。第5.4节的数值模拟复现了"边际收益压缩88%"，但未复现"绝对下降"。本文将其归因于模拟的单一资产设定，但这一解释需要更严格的检验。</w:t>
      </w:r>
    </w:p>
    <w:p>
      <w:pPr>
        <w:spacing w:before="0" w:after="60" w:line="360" w:lineRule="auto"/>
        <w:ind w:firstLine="480"/>
      </w:pPr>
      <w:r>
        <w:rPr>
          <w:rFonts w:ascii="Times New Roman" w:hAnsi="Times New Roman" w:eastAsia="宋体"/>
          <w:b w:val="0"/>
          <w:i w:val="0"/>
          <w:sz w:val="24"/>
        </w:rPr>
        <w:t>其三，</w:t>
      </w:r>
      <w:r>
        <w:rPr>
          <w:rFonts w:ascii="Times New Roman" w:hAnsi="Times New Roman" w:eastAsia="宋体"/>
          <w:b/>
          <w:i w:val="0"/>
          <w:sz w:val="24"/>
        </w:rPr>
        <w:t>相对国债的夏普优势不显著</w:t>
      </w:r>
      <w:r>
        <w:rPr>
          <w:rFonts w:ascii="Times New Roman" w:hAnsi="Times New Roman" w:eastAsia="宋体"/>
          <w:b w:val="0"/>
          <w:i w:val="0"/>
          <w:sz w:val="24"/>
        </w:rPr>
        <w:t>（p=0.774）。本文策略在绝对收益与回撤控制上表现优异，但相对无风险资产的风险调整优势在本样本内未获统计支持。这与2014年以来中国债券长牛的特殊环境有关，结论外推需谨慎。</w:t>
      </w:r>
    </w:p>
    <w:p>
      <w:pPr>
        <w:spacing w:before="0" w:after="60" w:line="360" w:lineRule="auto"/>
        <w:ind w:firstLine="480"/>
      </w:pPr>
      <w:r>
        <w:rPr>
          <w:rFonts w:ascii="Times New Roman" w:hAnsi="Times New Roman" w:eastAsia="宋体"/>
          <w:b w:val="0"/>
          <w:i w:val="0"/>
          <w:sz w:val="24"/>
        </w:rPr>
        <w:t>其四，</w:t>
      </w:r>
      <w:r>
        <w:rPr>
          <w:rFonts w:ascii="Times New Roman" w:hAnsi="Times New Roman" w:eastAsia="宋体"/>
          <w:b/>
          <w:i w:val="0"/>
          <w:sz w:val="24"/>
        </w:rPr>
        <w:t>未纳入的交易摩擦</w:t>
      </w:r>
      <w:r>
        <w:rPr>
          <w:rFonts w:ascii="Times New Roman" w:hAnsi="Times New Roman" w:eastAsia="宋体"/>
          <w:b w:val="0"/>
          <w:i w:val="0"/>
          <w:sz w:val="24"/>
        </w:rPr>
        <w:t>。本文假设可按收盘价成交、冲击成本为零，这对百万级以下资金成立，对大规模资金则需重新评估。</w:t>
      </w:r>
    </w:p>
    <w:p>
      <w:pPr>
        <w:spacing w:before="240" w:after="100" w:line="360" w:lineRule="auto"/>
      </w:pPr>
      <w:r>
        <w:rPr>
          <w:rFonts w:ascii="Times New Roman" w:hAnsi="Times New Roman" w:eastAsia="黑体"/>
          <w:b/>
          <w:i w:val="0"/>
          <w:sz w:val="26"/>
        </w:rPr>
        <w:t>8.5 结语</w:t>
      </w:r>
    </w:p>
    <w:p>
      <w:pPr>
        <w:spacing w:before="0" w:after="60" w:line="360" w:lineRule="auto"/>
        <w:ind w:firstLine="480"/>
      </w:pPr>
      <w:r>
        <w:rPr>
          <w:rFonts w:ascii="Times New Roman" w:hAnsi="Times New Roman" w:eastAsia="宋体"/>
          <w:b w:val="0"/>
          <w:i w:val="0"/>
          <w:sz w:val="24"/>
        </w:rPr>
        <w:t>本文从一个工程性的观察出发——"为什么加了第二层风控，收益反而不涨了"——最终指向一个理论问题：</w:t>
      </w:r>
      <w:r>
        <w:rPr>
          <w:rFonts w:ascii="Times New Roman" w:hAnsi="Times New Roman" w:eastAsia="宋体"/>
          <w:b/>
          <w:i w:val="0"/>
          <w:sz w:val="24"/>
        </w:rPr>
        <w:t>在约束条件下，风险管理的边际收益可能为零甚至为负</w:t>
      </w:r>
      <w:r>
        <w:rPr>
          <w:rFonts w:ascii="Times New Roman" w:hAnsi="Times New Roman" w:eastAsia="宋体"/>
          <w:b w:val="0"/>
          <w:i w:val="0"/>
          <w:sz w:val="24"/>
        </w:rPr>
        <w:t>。这提醒我们，风控手段的堆叠并不必然带来更好的结果；理解每一层风控的作用机制与交互方式，与设计新的风控手段同等重要。</w:t>
      </w:r>
    </w:p>
    <w:p>
      <w:pPr>
        <w:spacing w:before="320" w:after="160" w:line="300" w:lineRule="auto"/>
        <w:jc w:val="center"/>
      </w:pPr>
      <w:r>
        <w:rPr>
          <w:rFonts w:ascii="Times New Roman" w:hAnsi="Times New Roman" w:eastAsia="黑体"/>
          <w:b/>
          <w:i w:val="0"/>
          <w:sz w:val="30"/>
        </w:rPr>
        <w:t>参考文献</w:t>
      </w:r>
    </w:p>
    <w:p>
      <w:pPr>
        <w:spacing w:before="0" w:after="40" w:line="312" w:lineRule="auto"/>
        <w:ind w:left="480" w:hanging="480"/>
      </w:pPr>
      <w:r>
        <w:rPr>
          <w:rFonts w:ascii="Times New Roman" w:hAnsi="Times New Roman" w:eastAsia="宋体"/>
          <w:b w:val="0"/>
          <w:i w:val="0"/>
          <w:sz w:val="21"/>
        </w:rPr>
        <w:t xml:space="preserve">1. Black, F., &amp; Jones, R. (1987). Simplifying portfolio insurance. </w:t>
      </w:r>
      <w:r>
        <w:rPr>
          <w:rFonts w:ascii="Times New Roman" w:hAnsi="Times New Roman" w:eastAsia="宋体"/>
          <w:b w:val="0"/>
          <w:i/>
          <w:sz w:val="21"/>
        </w:rPr>
        <w:t>Journal of Portfolio Management</w:t>
      </w:r>
      <w:r>
        <w:rPr>
          <w:rFonts w:ascii="Times New Roman" w:hAnsi="Times New Roman" w:eastAsia="宋体"/>
          <w:b w:val="0"/>
          <w:i w:val="0"/>
          <w:sz w:val="21"/>
        </w:rPr>
        <w:t>, 14(1), 48–51.</w:t>
      </w:r>
    </w:p>
    <w:p>
      <w:pPr>
        <w:spacing w:before="0" w:after="40" w:line="312" w:lineRule="auto"/>
        <w:ind w:left="480" w:hanging="480"/>
      </w:pPr>
      <w:r>
        <w:rPr>
          <w:rFonts w:ascii="Times New Roman" w:hAnsi="Times New Roman" w:eastAsia="宋体"/>
          <w:b w:val="0"/>
          <w:i w:val="0"/>
          <w:sz w:val="21"/>
        </w:rPr>
        <w:t xml:space="preserve">2. Perold, A. F., &amp; Sharpe, W. F. (1988). Dynamic strategies for asset allocation. </w:t>
      </w:r>
      <w:r>
        <w:rPr>
          <w:rFonts w:ascii="Times New Roman" w:hAnsi="Times New Roman" w:eastAsia="宋体"/>
          <w:b w:val="0"/>
          <w:i/>
          <w:sz w:val="21"/>
        </w:rPr>
        <w:t>Financial Analysts Journal</w:t>
      </w:r>
      <w:r>
        <w:rPr>
          <w:rFonts w:ascii="Times New Roman" w:hAnsi="Times New Roman" w:eastAsia="宋体"/>
          <w:b w:val="0"/>
          <w:i w:val="0"/>
          <w:sz w:val="21"/>
        </w:rPr>
        <w:t>, 44(1), 16–27.</w:t>
      </w:r>
    </w:p>
    <w:p>
      <w:pPr>
        <w:spacing w:before="0" w:after="40" w:line="312" w:lineRule="auto"/>
        <w:ind w:left="480" w:hanging="480"/>
      </w:pPr>
      <w:r>
        <w:rPr>
          <w:rFonts w:ascii="Times New Roman" w:hAnsi="Times New Roman" w:eastAsia="宋体"/>
          <w:b w:val="0"/>
          <w:i w:val="0"/>
          <w:sz w:val="21"/>
        </w:rPr>
        <w:t xml:space="preserve">3. Fleming, J., Kirby, C., &amp; Ostdiek, B. (2001). The economic value of volatility timing. </w:t>
      </w:r>
      <w:r>
        <w:rPr>
          <w:rFonts w:ascii="Times New Roman" w:hAnsi="Times New Roman" w:eastAsia="宋体"/>
          <w:b w:val="0"/>
          <w:i/>
          <w:sz w:val="21"/>
        </w:rPr>
        <w:t>Journal of Finance</w:t>
      </w:r>
      <w:r>
        <w:rPr>
          <w:rFonts w:ascii="Times New Roman" w:hAnsi="Times New Roman" w:eastAsia="宋体"/>
          <w:b w:val="0"/>
          <w:i w:val="0"/>
          <w:sz w:val="21"/>
        </w:rPr>
        <w:t>, 56(1), 329–352.</w:t>
      </w:r>
    </w:p>
    <w:p>
      <w:pPr>
        <w:spacing w:before="0" w:after="40" w:line="312" w:lineRule="auto"/>
        <w:ind w:left="480" w:hanging="480"/>
      </w:pPr>
      <w:r>
        <w:rPr>
          <w:rFonts w:ascii="Times New Roman" w:hAnsi="Times New Roman" w:eastAsia="宋体"/>
          <w:b w:val="0"/>
          <w:i w:val="0"/>
          <w:sz w:val="21"/>
        </w:rPr>
        <w:t xml:space="preserve">4. Fleming, J., Kirby, C., &amp; Ostdiek, B. (2003). The economic value of volatility timing using "realized" volatility. </w:t>
      </w:r>
      <w:r>
        <w:rPr>
          <w:rFonts w:ascii="Times New Roman" w:hAnsi="Times New Roman" w:eastAsia="宋体"/>
          <w:b w:val="0"/>
          <w:i/>
          <w:sz w:val="21"/>
        </w:rPr>
        <w:t>Journal of Financial Economics</w:t>
      </w:r>
      <w:r>
        <w:rPr>
          <w:rFonts w:ascii="Times New Roman" w:hAnsi="Times New Roman" w:eastAsia="宋体"/>
          <w:b w:val="0"/>
          <w:i w:val="0"/>
          <w:sz w:val="21"/>
        </w:rPr>
        <w:t>, 67(3), 473–509.</w:t>
      </w:r>
    </w:p>
    <w:p>
      <w:pPr>
        <w:spacing w:before="0" w:after="40" w:line="312" w:lineRule="auto"/>
        <w:ind w:left="480" w:hanging="480"/>
      </w:pPr>
      <w:r>
        <w:rPr>
          <w:rFonts w:ascii="Times New Roman" w:hAnsi="Times New Roman" w:eastAsia="宋体"/>
          <w:b w:val="0"/>
          <w:i w:val="0"/>
          <w:sz w:val="21"/>
        </w:rPr>
        <w:t xml:space="preserve">5. Moskowitz, T. J., Ooi, Y. H., &amp; Pedersen, L. H. (2012). Time series momentum. </w:t>
      </w:r>
      <w:r>
        <w:rPr>
          <w:rFonts w:ascii="Times New Roman" w:hAnsi="Times New Roman" w:eastAsia="宋体"/>
          <w:b w:val="0"/>
          <w:i/>
          <w:sz w:val="21"/>
        </w:rPr>
        <w:t>Journal of Financial Economics</w:t>
      </w:r>
      <w:r>
        <w:rPr>
          <w:rFonts w:ascii="Times New Roman" w:hAnsi="Times New Roman" w:eastAsia="宋体"/>
          <w:b w:val="0"/>
          <w:i w:val="0"/>
          <w:sz w:val="21"/>
        </w:rPr>
        <w:t>, 104(2), 228–250.</w:t>
      </w:r>
    </w:p>
    <w:p>
      <w:pPr>
        <w:spacing w:before="0" w:after="40" w:line="312" w:lineRule="auto"/>
        <w:ind w:left="480" w:hanging="480"/>
      </w:pPr>
      <w:r>
        <w:rPr>
          <w:rFonts w:ascii="Times New Roman" w:hAnsi="Times New Roman" w:eastAsia="宋体"/>
          <w:b w:val="0"/>
          <w:i w:val="0"/>
          <w:sz w:val="21"/>
        </w:rPr>
        <w:t xml:space="preserve">6. Moreira, A., &amp; Muir, T. (2017). Volatility-managed portfolios. </w:t>
      </w:r>
      <w:r>
        <w:rPr>
          <w:rFonts w:ascii="Times New Roman" w:hAnsi="Times New Roman" w:eastAsia="宋体"/>
          <w:b w:val="0"/>
          <w:i/>
          <w:sz w:val="21"/>
        </w:rPr>
        <w:t>Journal of Finance</w:t>
      </w:r>
      <w:r>
        <w:rPr>
          <w:rFonts w:ascii="Times New Roman" w:hAnsi="Times New Roman" w:eastAsia="宋体"/>
          <w:b w:val="0"/>
          <w:i w:val="0"/>
          <w:sz w:val="21"/>
        </w:rPr>
        <w:t>, 72(4), 1611–1644.</w:t>
      </w:r>
    </w:p>
    <w:p>
      <w:pPr>
        <w:spacing w:before="0" w:after="40" w:line="312" w:lineRule="auto"/>
        <w:ind w:left="480" w:hanging="480"/>
      </w:pPr>
      <w:r>
        <w:rPr>
          <w:rFonts w:ascii="Times New Roman" w:hAnsi="Times New Roman" w:eastAsia="宋体"/>
          <w:b w:val="0"/>
          <w:i w:val="0"/>
          <w:sz w:val="21"/>
        </w:rPr>
        <w:t>7. Liu, J., Tang, Y., &amp; Zhou, G. (2019). Volatility-managed portfolios: Does it scale? Working paper.</w:t>
      </w:r>
    </w:p>
    <w:p>
      <w:pPr>
        <w:spacing w:before="0" w:after="40" w:line="312" w:lineRule="auto"/>
        <w:ind w:left="480" w:hanging="480"/>
      </w:pPr>
      <w:r>
        <w:rPr>
          <w:rFonts w:ascii="Times New Roman" w:hAnsi="Times New Roman" w:eastAsia="宋体"/>
          <w:b w:val="0"/>
          <w:i w:val="0"/>
          <w:sz w:val="21"/>
        </w:rPr>
        <w:t xml:space="preserve">8. Cederburg, S., O'Doherty, M. S., Wang, F., &amp; Yan, X. (2020). On the performance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138(1), 95–117.</w:t>
      </w:r>
    </w:p>
    <w:p>
      <w:pPr>
        <w:spacing w:before="0" w:after="40" w:line="312" w:lineRule="auto"/>
        <w:ind w:left="480" w:hanging="480"/>
      </w:pPr>
      <w:r>
        <w:rPr>
          <w:rFonts w:ascii="Times New Roman" w:hAnsi="Times New Roman" w:eastAsia="宋体"/>
          <w:b w:val="0"/>
          <w:i w:val="0"/>
          <w:sz w:val="21"/>
        </w:rPr>
        <w:t xml:space="preserve">9. Bongaerts, D., Kang, X., &amp; van Dijk, M. (2020). Conditional volatility targeting. </w:t>
      </w:r>
      <w:r>
        <w:rPr>
          <w:rFonts w:ascii="Times New Roman" w:hAnsi="Times New Roman" w:eastAsia="宋体"/>
          <w:b w:val="0"/>
          <w:i/>
          <w:sz w:val="21"/>
        </w:rPr>
        <w:t>Financial Analysts Journal</w:t>
      </w:r>
      <w:r>
        <w:rPr>
          <w:rFonts w:ascii="Times New Roman" w:hAnsi="Times New Roman" w:eastAsia="宋体"/>
          <w:b w:val="0"/>
          <w:i w:val="0"/>
          <w:sz w:val="21"/>
        </w:rPr>
        <w:t>, 76(2), 84–100.</w:t>
      </w:r>
    </w:p>
    <w:p>
      <w:pPr>
        <w:spacing w:before="0" w:after="40" w:line="312" w:lineRule="auto"/>
        <w:ind w:left="480" w:hanging="480"/>
      </w:pPr>
      <w:r>
        <w:rPr>
          <w:rFonts w:ascii="Times New Roman" w:hAnsi="Times New Roman" w:eastAsia="宋体"/>
          <w:b w:val="0"/>
          <w:i w:val="0"/>
          <w:sz w:val="21"/>
        </w:rPr>
        <w:t xml:space="preserve">10. Wang, F., &amp; Yan, X. (2021). Downside volatility-managed portfolios. </w:t>
      </w:r>
      <w:r>
        <w:rPr>
          <w:rFonts w:ascii="Times New Roman" w:hAnsi="Times New Roman" w:eastAsia="宋体"/>
          <w:b w:val="0"/>
          <w:i/>
          <w:sz w:val="21"/>
        </w:rPr>
        <w:t>Journal of Banking &amp; Finance</w:t>
      </w:r>
      <w:r>
        <w:rPr>
          <w:rFonts w:ascii="Times New Roman" w:hAnsi="Times New Roman" w:eastAsia="宋体"/>
          <w:b w:val="0"/>
          <w:i w:val="0"/>
          <w:sz w:val="21"/>
        </w:rPr>
        <w:t>, 133, 106267.</w:t>
      </w:r>
    </w:p>
    <w:p>
      <w:pPr>
        <w:spacing w:before="0" w:after="40" w:line="312" w:lineRule="auto"/>
        <w:ind w:left="480" w:hanging="480"/>
      </w:pPr>
      <w:r>
        <w:rPr>
          <w:rFonts w:ascii="Times New Roman" w:hAnsi="Times New Roman" w:eastAsia="宋体"/>
          <w:b w:val="0"/>
          <w:i w:val="0"/>
          <w:sz w:val="21"/>
        </w:rPr>
        <w:t>11. Xu, X. (2024). Improving volatility-managed portfolios in real time. Working paper.</w:t>
      </w:r>
    </w:p>
    <w:p>
      <w:pPr>
        <w:spacing w:before="0" w:after="40" w:line="312" w:lineRule="auto"/>
        <w:ind w:left="480" w:hanging="480"/>
      </w:pPr>
      <w:r>
        <w:rPr>
          <w:rFonts w:ascii="Times New Roman" w:hAnsi="Times New Roman" w:eastAsia="宋体"/>
          <w:b w:val="0"/>
          <w:i w:val="0"/>
          <w:sz w:val="21"/>
        </w:rPr>
        <w:t xml:space="preserve">12. Harvey, C. R., Liu, Y., &amp; Zhu, H. (2016). …and the cross-section of expected returns. </w:t>
      </w:r>
      <w:r>
        <w:rPr>
          <w:rFonts w:ascii="Times New Roman" w:hAnsi="Times New Roman" w:eastAsia="宋体"/>
          <w:b w:val="0"/>
          <w:i/>
          <w:sz w:val="21"/>
        </w:rPr>
        <w:t>Review of Financial Studies</w:t>
      </w:r>
      <w:r>
        <w:rPr>
          <w:rFonts w:ascii="Times New Roman" w:hAnsi="Times New Roman" w:eastAsia="宋体"/>
          <w:b w:val="0"/>
          <w:i w:val="0"/>
          <w:sz w:val="21"/>
        </w:rPr>
        <w:t>, 29(1), 5–68.</w:t>
      </w:r>
    </w:p>
    <w:p>
      <w:pPr>
        <w:spacing w:before="0" w:after="40" w:line="312" w:lineRule="auto"/>
        <w:ind w:left="480" w:hanging="480"/>
      </w:pPr>
      <w:r>
        <w:rPr>
          <w:rFonts w:ascii="Times New Roman" w:hAnsi="Times New Roman" w:eastAsia="宋体"/>
          <w:b w:val="0"/>
          <w:i w:val="0"/>
          <w:sz w:val="21"/>
        </w:rPr>
        <w:t xml:space="preserve">13. Barroso, P., &amp; Santa-Clara, P. (2015). Momentum has its moments. </w:t>
      </w:r>
      <w:r>
        <w:rPr>
          <w:rFonts w:ascii="Times New Roman" w:hAnsi="Times New Roman" w:eastAsia="宋体"/>
          <w:b w:val="0"/>
          <w:i/>
          <w:sz w:val="21"/>
        </w:rPr>
        <w:t>Journal of Financial Economics</w:t>
      </w:r>
      <w:r>
        <w:rPr>
          <w:rFonts w:ascii="Times New Roman" w:hAnsi="Times New Roman" w:eastAsia="宋体"/>
          <w:b w:val="0"/>
          <w:i w:val="0"/>
          <w:sz w:val="21"/>
        </w:rPr>
        <w:t>, 116(1), 111–120.</w:t>
      </w:r>
    </w:p>
    <w:p>
      <w:pPr>
        <w:spacing w:before="0" w:after="40" w:line="312" w:lineRule="auto"/>
        <w:ind w:left="480" w:hanging="480"/>
      </w:pPr>
      <w:r>
        <w:rPr>
          <w:rFonts w:ascii="Times New Roman" w:hAnsi="Times New Roman" w:eastAsia="宋体"/>
          <w:b w:val="0"/>
          <w:i w:val="0"/>
          <w:sz w:val="21"/>
        </w:rPr>
        <w:t xml:space="preserve">14. Daniel, K., &amp; Moskowitz, T. J. (2016). Momentum crashes. </w:t>
      </w:r>
      <w:r>
        <w:rPr>
          <w:rFonts w:ascii="Times New Roman" w:hAnsi="Times New Roman" w:eastAsia="宋体"/>
          <w:b w:val="0"/>
          <w:i/>
          <w:sz w:val="21"/>
        </w:rPr>
        <w:t>Journal of Financial Economics</w:t>
      </w:r>
      <w:r>
        <w:rPr>
          <w:rFonts w:ascii="Times New Roman" w:hAnsi="Times New Roman" w:eastAsia="宋体"/>
          <w:b w:val="0"/>
          <w:i w:val="0"/>
          <w:sz w:val="21"/>
        </w:rPr>
        <w:t>, 122(2), 221–247.</w:t>
      </w:r>
    </w:p>
    <w:p>
      <w:pPr>
        <w:spacing w:before="0" w:after="40" w:line="312" w:lineRule="auto"/>
        <w:ind w:left="480" w:hanging="480"/>
      </w:pPr>
      <w:r>
        <w:rPr>
          <w:rFonts w:ascii="Times New Roman" w:hAnsi="Times New Roman" w:eastAsia="宋体"/>
          <w:b w:val="0"/>
          <w:i w:val="0"/>
          <w:sz w:val="21"/>
        </w:rPr>
        <w:t xml:space="preserve">15. Grossman, S. J., &amp; Zhou, Z. (1993). Optimal investment strategies for controlling drawdowns. </w:t>
      </w:r>
      <w:r>
        <w:rPr>
          <w:rFonts w:ascii="Times New Roman" w:hAnsi="Times New Roman" w:eastAsia="宋体"/>
          <w:b w:val="0"/>
          <w:i/>
          <w:sz w:val="21"/>
        </w:rPr>
        <w:t>Mathematical Finance</w:t>
      </w:r>
      <w:r>
        <w:rPr>
          <w:rFonts w:ascii="Times New Roman" w:hAnsi="Times New Roman" w:eastAsia="宋体"/>
          <w:b w:val="0"/>
          <w:i w:val="0"/>
          <w:sz w:val="21"/>
        </w:rPr>
        <w:t>, 3(3), 241–276.</w:t>
      </w:r>
    </w:p>
    <w:p>
      <w:pPr>
        <w:spacing w:before="0" w:after="40" w:line="312" w:lineRule="auto"/>
        <w:ind w:left="480" w:hanging="480"/>
      </w:pPr>
      <w:r>
        <w:rPr>
          <w:rFonts w:ascii="Times New Roman" w:hAnsi="Times New Roman" w:eastAsia="宋体"/>
          <w:b w:val="0"/>
          <w:i w:val="0"/>
          <w:sz w:val="21"/>
        </w:rPr>
        <w:t xml:space="preserve">16. Jegadeesh, N., &amp; Titman, S. (1993). Returns to buying winners and selling losers. </w:t>
      </w:r>
      <w:r>
        <w:rPr>
          <w:rFonts w:ascii="Times New Roman" w:hAnsi="Times New Roman" w:eastAsia="宋体"/>
          <w:b w:val="0"/>
          <w:i/>
          <w:sz w:val="21"/>
        </w:rPr>
        <w:t>Journal of Finance</w:t>
      </w:r>
      <w:r>
        <w:rPr>
          <w:rFonts w:ascii="Times New Roman" w:hAnsi="Times New Roman" w:eastAsia="宋体"/>
          <w:b w:val="0"/>
          <w:i w:val="0"/>
          <w:sz w:val="21"/>
        </w:rPr>
        <w:t>, 48(1), 65–91.</w:t>
      </w:r>
    </w:p>
    <w:p>
      <w:pPr>
        <w:spacing w:before="0" w:after="40" w:line="312" w:lineRule="auto"/>
        <w:ind w:left="480" w:hanging="480"/>
      </w:pPr>
      <w:r>
        <w:rPr>
          <w:rFonts w:ascii="Times New Roman" w:hAnsi="Times New Roman" w:eastAsia="宋体"/>
          <w:b w:val="0"/>
          <w:i w:val="0"/>
          <w:sz w:val="21"/>
        </w:rPr>
        <w:t xml:space="preserve">17. Hong, H., &amp; Stein, J. C. (1999). A unified theory of underreaction, momentum trading, and overreaction in asset markets. </w:t>
      </w:r>
      <w:r>
        <w:rPr>
          <w:rFonts w:ascii="Times New Roman" w:hAnsi="Times New Roman" w:eastAsia="宋体"/>
          <w:b w:val="0"/>
          <w:i/>
          <w:sz w:val="21"/>
        </w:rPr>
        <w:t>Journal of Finance</w:t>
      </w:r>
      <w:r>
        <w:rPr>
          <w:rFonts w:ascii="Times New Roman" w:hAnsi="Times New Roman" w:eastAsia="宋体"/>
          <w:b w:val="0"/>
          <w:i w:val="0"/>
          <w:sz w:val="21"/>
        </w:rPr>
        <w:t>, 54(6), 2143–2184.</w:t>
      </w:r>
    </w:p>
    <w:p>
      <w:pPr>
        <w:spacing w:before="0" w:after="40" w:line="312" w:lineRule="auto"/>
        <w:ind w:left="480" w:hanging="480"/>
      </w:pPr>
      <w:r>
        <w:rPr>
          <w:rFonts w:ascii="Times New Roman" w:hAnsi="Times New Roman" w:eastAsia="宋体"/>
          <w:b w:val="0"/>
          <w:i w:val="0"/>
          <w:sz w:val="21"/>
        </w:rPr>
        <w:t>18. 王永宏、赵学军，2001：《中国股市"惯性策略"和"反转策略"的实证分析》，《经济研究》第6期，第56—61页。</w:t>
      </w:r>
    </w:p>
    <w:p>
      <w:pPr>
        <w:spacing w:before="0" w:after="40" w:line="312" w:lineRule="auto"/>
        <w:ind w:left="480" w:hanging="480"/>
      </w:pPr>
      <w:r>
        <w:rPr>
          <w:rFonts w:ascii="Times New Roman" w:hAnsi="Times New Roman" w:eastAsia="宋体"/>
          <w:b w:val="0"/>
          <w:i w:val="0"/>
          <w:sz w:val="21"/>
        </w:rPr>
        <w:t>19. 赵学军、王永宏，2001：《中国股市"处置效应"的实证分析》，《金融研究》第7期，第92—97页。</w:t>
      </w:r>
    </w:p>
    <w:p>
      <w:pPr>
        <w:spacing w:before="0" w:after="40" w:line="312" w:lineRule="auto"/>
        <w:ind w:left="480" w:hanging="480"/>
      </w:pPr>
      <w:r>
        <w:rPr>
          <w:rFonts w:ascii="Times New Roman" w:hAnsi="Times New Roman" w:eastAsia="宋体"/>
          <w:b w:val="0"/>
          <w:i w:val="0"/>
          <w:sz w:val="21"/>
        </w:rPr>
        <w:t>20. 周琳杰，2002：《中国股票市场动量策略赢利性研究》，《世界经济》第8期，第60—64页。</w:t>
      </w:r>
    </w:p>
    <w:p>
      <w:pPr>
        <w:spacing w:before="0" w:after="40" w:line="312" w:lineRule="auto"/>
        <w:ind w:left="480" w:hanging="480"/>
      </w:pPr>
      <w:r>
        <w:rPr>
          <w:rFonts w:ascii="Times New Roman" w:hAnsi="Times New Roman" w:eastAsia="宋体"/>
          <w:b w:val="0"/>
          <w:i w:val="0"/>
          <w:sz w:val="21"/>
        </w:rPr>
        <w:t>21. 刘博、皮天雷，2007：《惯性策略和反转策略：来自中国沪深A股市场的新证据》，《金融研究》第8期，第154—166页。</w:t>
      </w:r>
    </w:p>
    <w:p>
      <w:pPr>
        <w:spacing w:before="0" w:after="40" w:line="312" w:lineRule="auto"/>
        <w:ind w:left="480" w:hanging="480"/>
      </w:pPr>
      <w:r>
        <w:rPr>
          <w:rFonts w:ascii="Times New Roman" w:hAnsi="Times New Roman" w:eastAsia="宋体"/>
          <w:b w:val="0"/>
          <w:i w:val="0"/>
          <w:sz w:val="21"/>
        </w:rPr>
        <w:t>22. 鲁臻、邹恒甫，2007：《中国股市的惯性与反转效应研究》，《经济研究》第9期，第145—155页。</w:t>
      </w:r>
    </w:p>
    <w:p>
      <w:pPr>
        <w:spacing w:before="0" w:after="40" w:line="312" w:lineRule="auto"/>
        <w:ind w:left="480" w:hanging="480"/>
      </w:pPr>
      <w:r>
        <w:rPr>
          <w:rFonts w:ascii="Times New Roman" w:hAnsi="Times New Roman" w:eastAsia="宋体"/>
          <w:b w:val="0"/>
          <w:i w:val="0"/>
          <w:sz w:val="21"/>
        </w:rPr>
        <w:t>23. 潘莉、徐建国，2011：《A股个股回报率的惯性与反转》，《金融研究》第1期，第149—166页。</w:t>
      </w:r>
    </w:p>
    <w:p>
      <w:pPr>
        <w:spacing w:before="0" w:after="40" w:line="312" w:lineRule="auto"/>
        <w:ind w:left="480" w:hanging="480"/>
      </w:pPr>
      <w:r>
        <w:rPr>
          <w:rFonts w:ascii="Times New Roman" w:hAnsi="Times New Roman" w:eastAsia="宋体"/>
          <w:b w:val="0"/>
          <w:i w:val="0"/>
          <w:sz w:val="21"/>
        </w:rPr>
        <w:t>24. 谭小芬、林雨菲，2012：《中国A股市场动量效应和反转效应：实证研究及其理论解释》，《金融评论》第1期，第45—57页。</w:t>
      </w:r>
    </w:p>
    <w:p>
      <w:pPr>
        <w:spacing w:before="0" w:after="40" w:line="312" w:lineRule="auto"/>
        <w:ind w:left="480" w:hanging="480"/>
      </w:pPr>
      <w:r>
        <w:rPr>
          <w:rFonts w:ascii="Times New Roman" w:hAnsi="Times New Roman" w:eastAsia="宋体"/>
          <w:b w:val="0"/>
          <w:i w:val="0"/>
          <w:sz w:val="21"/>
        </w:rPr>
        <w:t>25. 高秋明、胡聪慧、燕翔，2014：《中国A股市场动量效应的特征和形成机理研究》，《财经研究》第2期，第97—107页。</w:t>
      </w:r>
    </w:p>
    <w:p>
      <w:pPr>
        <w:spacing w:before="0" w:after="40" w:line="312" w:lineRule="auto"/>
        <w:ind w:left="480" w:hanging="480"/>
      </w:pPr>
      <w:r>
        <w:rPr>
          <w:rFonts w:ascii="Times New Roman" w:hAnsi="Times New Roman" w:eastAsia="宋体"/>
          <w:b w:val="0"/>
          <w:i w:val="0"/>
          <w:sz w:val="21"/>
        </w:rPr>
        <w:t>26. 陆蓉、李金龙、陈实，2022：《中国投资者的股票出售行为画像——处置效应研究新进展》，《管理世界》第3期，第59—78页。</w:t>
      </w:r>
    </w:p>
    <w:p>
      <w:pPr>
        <w:spacing w:before="0" w:after="60" w:line="360" w:lineRule="auto"/>
        <w:ind w:firstLine="480"/>
      </w:pPr>
      <w:r>
        <w:rPr>
          <w:rFonts w:ascii="Times New Roman" w:hAnsi="Times New Roman" w:eastAsia="宋体"/>
          <w:b w:val="0"/>
          <w:i w:val="0"/>
          <w:sz w:val="24"/>
        </w:rPr>
        <w:t>*本报告仅供研究参考，不构成个人投资建议。*</w:t>
      </w:r>
    </w:p>
    <w:p>
      <w:pPr>
        <w:spacing w:before="280" w:after="0" w:line="312" w:lineRule="auto"/>
        <w:jc w:val="left"/>
      </w:pPr>
      <w:r>
        <w:rPr>
          <w:rFonts w:ascii="Times New Roman" w:hAnsi="Times New Roman" w:eastAsia="楷体"/>
          <w:b w:val="0"/>
          <w:i w:val="0"/>
          <w:sz w:val="19"/>
        </w:rPr>
        <w:t>说明：本文所有回测均已扣除交易成本（单边万三），并校正了 ETF 份额折算造成的价格假跳变；数据区间 2013-08-01 至 2026-10-20。</w:t>
      </w:r>
    </w:p>
    <w:p>
      <w:pPr>
        <w:spacing w:before="360" w:after="40" w:line="300" w:lineRule="auto"/>
        <w:jc w:val="center"/>
      </w:pPr>
      <w:r>
        <w:rPr>
          <w:rFonts w:ascii="Times New Roman" w:hAnsi="Times New Roman" w:eastAsia="宋体"/>
          <w:b/>
          <w:i w:val="0"/>
          <w:sz w:val="26"/>
        </w:rPr>
        <w:t>Double Deleveraging Trap: The Interaction between Volatility Targeting and Drawdown Control</w:t>
      </w:r>
    </w:p>
    <w:p>
      <w:pPr>
        <w:spacing w:before="0" w:after="160" w:line="300" w:lineRule="auto"/>
        <w:jc w:val="center"/>
      </w:pPr>
      <w:r>
        <w:rPr>
          <w:rFonts w:ascii="Times New Roman" w:hAnsi="Times New Roman" w:eastAsia="宋体"/>
          <w:b w:val="0"/>
          <w:i w:val="0"/>
          <w:sz w:val="22"/>
        </w:rPr>
        <w:t>——Evidence from China's Multi-Asset Market</w:t>
      </w:r>
    </w:p>
    <w:p>
      <w:pPr>
        <w:spacing w:before="0" w:after="80" w:line="300" w:lineRule="auto"/>
        <w:jc w:val="both"/>
      </w:pPr>
      <w:r>
        <w:rPr>
          <w:rFonts w:ascii="Times New Roman" w:hAnsi="Times New Roman" w:eastAsia="宋体"/>
          <w:b/>
          <w:i w:val="0"/>
          <w:sz w:val="21"/>
        </w:rPr>
        <w:t xml:space="preserve">Abstract: </w:t>
      </w:r>
      <w:r>
        <w:rPr>
          <w:rFonts w:ascii="Times New Roman" w:hAnsi="Times New Roman" w:eastAsia="宋体"/>
          <w:b w:val="0"/>
          <w:i w:val="0"/>
          <w:sz w:val="21"/>
        </w:rPr>
        <w:t>Volatility targeting and drawdown control are the two most widely used rule-based risk overlays in asset management, yet prior studies typically evaluate them in isolation and almost universally assume that investors can employ leverage. Building on the debate between Moreira and Muir (2017) and Cederburg et al. (2020), this paper places both overlays within a unified no-leverage framework and examines their interaction. Theory shows that because the position-scaling function of volatility targeting is truncated at the leverage cap, its "leverage up in calm markets" channel is disabled and only the deleveraging channel survives; because drawdown control cuts exposure multiplicatively and is triggered simultaneously in high-volatility episodes, the two layers compound into a "double deleveraging". Using a 13.2-year sample of six Chinese asset classes plus treasury and cash, we find that with volatility targeting alone the return-risk frontier is monotonically increasing (target volatility 3%-12% corresponds to annualized returns of 5.48%-11.28%), whereas adding drawdown control turns the frontier single-peaked: the interior optimum occurs at a target volatility of 5.5% (annualized 6.47%, maximum drawdown -4.15%), and raising the target volatility further reduces rather than increases returns (to 5.37% at 12%). Interaction regressions show that drawdown control shifts the return-target-volatility slope by -0.6209, offsetting 95.8% of the main effect (+0.6479). Mechanism tests show that drawdown control lowers the exposure realization rate from 0.831 to 0.475: a 92% increase in target exposure buys only a 9.7% increase in effective exposure. Quantifying the welfare cost of the two constraints under three metrics yields a counterintuitive result: once a drawdown constraint is imposed, the welfare cost of the leverage constraint falls to nearly zero, while the cost of drawdown control itself reaches 3.794 percentage points, more than ten times the former. Our findings imply that, absent leverage, risk budgets are not "the more the better", and stacking additional risk-control layers systematically erodes returns, with direct implications for retail investor protection and the design of "fixed income+" products.</w:t>
      </w:r>
    </w:p>
    <w:p>
      <w:pPr>
        <w:spacing w:before="0" w:after="60" w:line="300" w:lineRule="auto"/>
        <w:jc w:val="both"/>
      </w:pPr>
      <w:r>
        <w:rPr>
          <w:rFonts w:ascii="Times New Roman" w:hAnsi="Times New Roman" w:eastAsia="宋体"/>
          <w:b/>
          <w:i w:val="0"/>
          <w:sz w:val="21"/>
        </w:rPr>
        <w:t xml:space="preserve">Keywords: </w:t>
      </w:r>
      <w:r>
        <w:rPr>
          <w:rFonts w:ascii="Times New Roman" w:hAnsi="Times New Roman" w:eastAsia="宋体"/>
          <w:b w:val="0"/>
          <w:i w:val="0"/>
          <w:sz w:val="21"/>
        </w:rPr>
        <w:t>volatility targeting; drawdown control; portfolio insurance; asset allocation; retail investor constraints</w:t>
      </w:r>
    </w:p>
    <w:p>
      <w:pPr>
        <w:spacing w:before="0" w:after="0" w:line="300" w:lineRule="auto"/>
        <w:jc w:val="both"/>
      </w:pPr>
      <w:r>
        <w:rPr>
          <w:rFonts w:ascii="Times New Roman" w:hAnsi="Times New Roman" w:eastAsia="宋体"/>
          <w:b/>
          <w:i w:val="0"/>
          <w:sz w:val="21"/>
        </w:rPr>
        <w:t xml:space="preserve">JEL Classification: </w:t>
      </w:r>
      <w:r>
        <w:rPr>
          <w:rFonts w:ascii="Times New Roman" w:hAnsi="Times New Roman" w:eastAsia="宋体"/>
          <w:b w:val="0"/>
          <w:i w:val="0"/>
          <w:sz w:val="21"/>
        </w:rPr>
        <w:t>G11, G12, G23</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rPr>
        <w:rFonts w:ascii="Times New Roman" w:hAnsi="Times New Roman" w:eastAsia="宋体"/>
        <w:b w:val="0"/>
        <w:i w:val="0"/>
        <w:sz w:val="21"/>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双重去杠杆陷阱：波动率目标与回撤控制的交互效应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