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jc w:val="center"/>
      </w:pPr>
      <w:r>
        <w:rPr>
          <w:rFonts w:ascii="Times New Roman" w:hAnsi="Times New Roman" w:eastAsia="黑体"/>
          <w:b/>
          <w:i w:val="0"/>
          <w:sz w:val="36"/>
        </w:rPr>
        <w:t>双重去杠杆陷阱：波动率目标与回撤控制的交互效应</w:t>
      </w:r>
    </w:p>
    <w:p>
      <w:pPr>
        <w:spacing w:before="0" w:after="200" w:line="300" w:lineRule="auto"/>
        <w:jc w:val="center"/>
      </w:pPr>
      <w:r>
        <w:rPr>
          <w:rFonts w:ascii="Times New Roman" w:hAnsi="Times New Roman" w:eastAsia="楷体"/>
          <w:b w:val="0"/>
          <w:i w:val="0"/>
          <w:sz w:val="26"/>
        </w:rPr>
        <w:t>——来自中国多资产市场的证据与数值模拟</w:t>
      </w:r>
    </w:p>
    <w:p>
      <w:pPr>
        <w:spacing w:before="0" w:after="40" w:line="300" w:lineRule="auto"/>
        <w:jc w:val="center"/>
      </w:pPr>
      <w:r>
        <w:rPr>
          <w:rFonts w:ascii="Times New Roman" w:hAnsi="Times New Roman" w:eastAsia="楷体"/>
          <w:b w:val="0"/>
          <w:i w:val="0"/>
          <w:sz w:val="22"/>
        </w:rPr>
        <w:t>作者姓名A　　作者姓名B</w:t>
      </w:r>
    </w:p>
    <w:p>
      <w:pPr>
        <w:spacing w:before="0" w:after="280" w:line="300" w:lineRule="auto"/>
        <w:jc w:val="center"/>
      </w:pPr>
      <w:r>
        <w:rPr>
          <w:rFonts w:ascii="Times New Roman" w:hAnsi="Times New Roman" w:eastAsia="楷体"/>
          <w:b w:val="0"/>
          <w:i w:val="0"/>
          <w:sz w:val="19"/>
        </w:rPr>
        <w:t>（1. 作者单位，城市 邮编；2. 作者单位，城市 邮编）</w:t>
      </w:r>
    </w:p>
    <w:p>
      <w:pPr>
        <w:spacing w:before="0" w:after="280" w:line="300" w:lineRule="auto"/>
      </w:pPr>
      <w:r>
        <w:rPr>
          <w:rFonts w:ascii="Times New Roman" w:hAnsi="Times New Roman" w:eastAsia="楷体"/>
          <w:b w:val="0"/>
          <w:i/>
          <w:sz w:val="18"/>
        </w:rPr>
        <w:t>【投稿前请填写作者与单位信息；若为匿名审稿稿，请删除上述四行】</w:t>
      </w:r>
    </w:p>
    <w:p>
      <w:pPr>
        <w:spacing w:before="120" w:after="120" w:line="300" w:lineRule="auto"/>
        <w:jc w:val="center"/>
      </w:pPr>
      <w:r>
        <w:rPr>
          <w:rFonts w:ascii="Times New Roman" w:hAnsi="Times New Roman" w:eastAsia="黑体"/>
          <w:b/>
          <w:i w:val="0"/>
          <w:sz w:val="24"/>
        </w:rPr>
        <w:t>摘　要</w:t>
      </w:r>
    </w:p>
    <w:p>
      <w:pPr>
        <w:spacing w:before="0" w:after="0" w:line="336" w:lineRule="auto"/>
        <w:ind w:firstLine="420" w:left="0"/>
      </w:pPr>
      <w:r>
        <w:rPr>
          <w:rFonts w:ascii="Times New Roman" w:hAnsi="Times New Roman" w:eastAsia="宋体"/>
          <w:b w:val="0"/>
          <w:i w:val="0"/>
          <w:sz w:val="21"/>
        </w:rPr>
        <w:t>波动率目标与回撤控制是资产管理中最常用的两类规则型风控，既有研究多孤立评估其一，且普遍假设投资者可以使用杠杆——这与中国绝大多数零售投资者及"固收+"产品的真实处境不符。本文将两类风控置于统一的无杠杆约束框架，考察其交互效应。理论分析表明，波动率目标的仓位缩放函数在杠杆上限处被截断，"低波动加仓"功能丧失；回撤控制以乘性方式叠加并在高波动期同步触发，二者复合为"双重去杠杆"。基于中国六类资产13.2年样本的证据显示：单独使用波动率目标时收益—风险前沿单调递增，叠加回撤控制后转为单峰并存在内点最优，此后提高风险预算反而降低收益；关闭全部战术信号后该分岔依然存在。机制上，回撤控制使敞口实现率从0.821降至0.461，削减具有棘轮效应，收益损失主要来自敞口效应而非择时效应的破坏。以效用、收益、风险三种口径量化两重约束的福利成本则发现，叠加回撤控制后杠杆约束的成本降至近零，回撤控制自身的成本为其10倍以上。两项边界须一并说明：本文策略相对国债ETF的风险调整优势未获统计支持（p=0.774），故不主张其优于一切基准；前沿的单峰形状具有条件性，四组回撤阈值中仅两组出现内点最优，而"回撤控制在高目标波动区造成4—7个百分点的收益损失"这一成本层结论在全部检验方向上成立。由此，本文识别并量化了两类风控在无杠杆约束下的负交互：在无法使用杠杆的条件下，风控层的堆叠会系统性侵蚀收益。</w:t>
      </w:r>
    </w:p>
    <w:p>
      <w:pPr>
        <w:spacing w:before="80" w:after="80" w:line="336" w:lineRule="auto"/>
      </w:pPr>
      <w:r>
        <w:rPr>
          <w:rFonts w:ascii="Times New Roman" w:hAnsi="Times New Roman" w:eastAsia="宋体"/>
          <w:b/>
          <w:i w:val="0"/>
          <w:sz w:val="21"/>
        </w:rPr>
        <w:t>关键词</w:t>
      </w:r>
      <w:r>
        <w:rPr>
          <w:rFonts w:ascii="Times New Roman" w:hAnsi="Times New Roman" w:eastAsia="宋体"/>
          <w:b w:val="0"/>
          <w:i w:val="0"/>
          <w:sz w:val="21"/>
        </w:rPr>
        <w:t>：波动率目标；回撤控制；组合保险；资产配置；零售投资者约束</w:t>
      </w:r>
    </w:p>
    <w:p>
      <w:pPr>
        <w:spacing w:before="80" w:after="80" w:line="336" w:lineRule="auto"/>
      </w:pPr>
      <w:r>
        <w:rPr>
          <w:rFonts w:ascii="Times New Roman" w:hAnsi="Times New Roman" w:eastAsia="宋体"/>
          <w:b/>
          <w:i w:val="0"/>
          <w:sz w:val="21"/>
        </w:rPr>
        <w:t>JEL 分类</w:t>
      </w:r>
      <w:r>
        <w:rPr>
          <w:rFonts w:ascii="Times New Roman" w:hAnsi="Times New Roman" w:eastAsia="宋体"/>
          <w:b w:val="0"/>
          <w:i w:val="0"/>
          <w:sz w:val="21"/>
        </w:rPr>
        <w:t>：G11, G12, G23</w:t>
      </w:r>
    </w:p>
    <w:p>
      <w:pPr>
        <w:spacing w:before="320" w:after="200" w:line="360" w:lineRule="auto"/>
        <w:jc w:val="center"/>
      </w:pPr>
      <w:r>
        <w:rPr>
          <w:rFonts w:ascii="Times New Roman" w:hAnsi="Times New Roman" w:eastAsia="黑体"/>
          <w:b/>
          <w:i w:val="0"/>
          <w:sz w:val="30"/>
        </w:rPr>
        <w:t>一、引言</w:t>
      </w:r>
    </w:p>
    <w:p>
      <w:pPr>
        <w:spacing w:before="240" w:after="100" w:line="360" w:lineRule="auto"/>
      </w:pPr>
      <w:r>
        <w:rPr>
          <w:rFonts w:ascii="Times New Roman" w:hAnsi="Times New Roman" w:eastAsia="黑体"/>
          <w:b/>
          <w:i w:val="0"/>
          <w:sz w:val="26"/>
        </w:rPr>
        <w:t>1.1 现实背景：一个规模巨大却被忽视的约束</w:t>
      </w:r>
    </w:p>
    <w:p>
      <w:pPr>
        <w:spacing w:before="0" w:after="60" w:line="360" w:lineRule="auto"/>
        <w:ind w:firstLine="480"/>
      </w:pPr>
      <w:r>
        <w:rPr>
          <w:rFonts w:ascii="Times New Roman" w:hAnsi="Times New Roman" w:eastAsia="宋体"/>
          <w:b w:val="0"/>
          <w:i w:val="0"/>
          <w:sz w:val="24"/>
        </w:rPr>
        <w:t>理解中国资产管理实践，必须从一组数量级出发。</w:t>
      </w:r>
    </w:p>
    <w:p>
      <w:pPr>
        <w:spacing w:before="0" w:after="60" w:line="360" w:lineRule="auto"/>
        <w:ind w:firstLine="480"/>
      </w:pPr>
      <w:r>
        <w:rPr>
          <w:rFonts w:ascii="Times New Roman" w:hAnsi="Times New Roman" w:eastAsia="宋体"/>
          <w:b/>
          <w:i w:val="0"/>
          <w:sz w:val="24"/>
        </w:rPr>
        <w:t>散户规模。</w:t>
      </w:r>
      <w:r>
        <w:rPr>
          <w:rFonts w:ascii="Times New Roman" w:hAnsi="Times New Roman" w:eastAsia="宋体"/>
          <w:b w:val="0"/>
          <w:i w:val="0"/>
          <w:sz w:val="24"/>
        </w:rPr>
        <w:t xml:space="preserve"> 根据上交所披露并经证券时报数据宝整理，截至2026年8月31日，个人投资者A股累计账户总数达4.21亿户；2026年上半年新开户中，个人投资者为2009.66万户，机构投资者仅6.47万户，个人占比99.7%。这是一个以个人投资者为绝对主体的市场。</w:t>
      </w:r>
    </w:p>
    <w:p>
      <w:pPr>
        <w:spacing w:before="0" w:after="60" w:line="360" w:lineRule="auto"/>
        <w:ind w:firstLine="480"/>
      </w:pPr>
      <w:r>
        <w:rPr>
          <w:rFonts w:ascii="Times New Roman" w:hAnsi="Times New Roman" w:eastAsia="宋体"/>
          <w:b/>
          <w:i w:val="0"/>
          <w:sz w:val="24"/>
        </w:rPr>
        <w:t>杠杆可得性。</w:t>
      </w:r>
      <w:r>
        <w:rPr>
          <w:rFonts w:ascii="Times New Roman" w:hAnsi="Times New Roman" w:eastAsia="宋体"/>
          <w:b w:val="0"/>
          <w:i w:val="0"/>
          <w:sz w:val="24"/>
        </w:rPr>
        <w:t xml:space="preserve"> 融资融券是境内个人投资者获取杠杆的主要合法渠道，其门槛为"前20个交易日日均证券类资产不低于50万元且交易经验满6个月"。据交易所数据，2026年6月参与融资融券的个人投资者为824.55万名。以4.21亿户个人账户为分母估算，具备两融资格的个人账户占比约为2.0%，即超过98%的个人投资者账户受到 Ē=1 的硬约束。此处 Ē 表示杠杆上限，即风险资产敞口 e_t 的上界：Ē=1 指最多只能把全部资金配置于风险资产、不得借入，Ē=2 指最多使用一倍杠杆，形式化定义见第2.4节。同期统计还显示，日均资产低于50万元的账户占比在92%—97%之间。Ē=1 因此不是理论抽象，而是中国绝大多数个人投资者的真实处境。</w:t>
      </w:r>
    </w:p>
    <w:p>
      <w:pPr>
        <w:spacing w:before="0" w:after="60" w:line="360" w:lineRule="auto"/>
        <w:ind w:firstLine="480"/>
      </w:pPr>
      <w:r>
        <w:rPr>
          <w:rFonts w:ascii="Times New Roman" w:hAnsi="Times New Roman" w:eastAsia="宋体"/>
          <w:b/>
          <w:i w:val="0"/>
          <w:sz w:val="24"/>
        </w:rPr>
        <w:t>机构侧的同构约束。</w:t>
      </w:r>
      <w:r>
        <w:rPr>
          <w:rFonts w:ascii="Times New Roman" w:hAnsi="Times New Roman" w:eastAsia="宋体"/>
          <w:b w:val="0"/>
          <w:i w:val="0"/>
          <w:sz w:val="24"/>
        </w:rPr>
        <w:t xml:space="preserve"> 这一约束并非散户独有。2026年一季度末，广义"固收+"产品（含混合债券型一级、二级债基及偏债混合型基金）规模达3.54万亿元（中金公司口径），同比增长74%，创历史新高；Wind口径下二季度末约3.52万亿元。这类产品的基金合同普遍将权益仓位限定在0—40%区间，客户还会提出"不能出现年度亏损"的诉求，后者恰恰构成一项强制性的回撤控制要求。</w:t>
      </w:r>
    </w:p>
    <w:p>
      <w:pPr>
        <w:spacing w:before="0" w:after="60" w:line="360" w:lineRule="auto"/>
        <w:ind w:firstLine="480"/>
      </w:pPr>
      <w:r>
        <w:rPr>
          <w:rFonts w:ascii="Times New Roman" w:hAnsi="Times New Roman" w:eastAsia="宋体"/>
          <w:b/>
          <w:i w:val="0"/>
          <w:sz w:val="24"/>
        </w:rPr>
        <w:t>来自行业一线的警告。</w:t>
      </w:r>
      <w:r>
        <w:rPr>
          <w:rFonts w:ascii="Times New Roman" w:hAnsi="Times New Roman" w:eastAsia="宋体"/>
          <w:b w:val="0"/>
          <w:i w:val="0"/>
          <w:sz w:val="24"/>
        </w:rPr>
        <w:t xml:space="preserve"> 《经济参考报》（2026年5月6日）在报道"固收+"规模狂欢时指出："部分机构为了冲规模，在产品设计上过度迎合渠道需求，权益仓位弹性空间被压缩，债券底仓则通过拉长久期、下沉信用来获取收益，本质上是在用信用风险和流动性风险置换所谓的稳健收益。"这段观察精确地描述了本文所研究的问题：当回撤控制被刚性绑定、杠杆通道同时关闭，管理人只能在"压缩弹性"与"下沉信用"之间取舍，两者都是代价。</w:t>
      </w:r>
    </w:p>
    <w:p>
      <w:pPr>
        <w:spacing w:before="0" w:after="60" w:line="360" w:lineRule="auto"/>
        <w:ind w:firstLine="480"/>
      </w:pPr>
      <w:r>
        <w:rPr>
          <w:rFonts w:ascii="Times New Roman" w:hAnsi="Times New Roman" w:eastAsia="宋体"/>
          <w:b/>
          <w:i w:val="0"/>
          <w:sz w:val="24"/>
        </w:rPr>
        <w:t>规模换算的量级（及其严格限定）。</w:t>
      </w:r>
      <w:r>
        <w:rPr>
          <w:rFonts w:ascii="Times New Roman" w:hAnsi="Times New Roman" w:eastAsia="宋体"/>
          <w:b w:val="0"/>
          <w:i w:val="0"/>
          <w:sz w:val="24"/>
        </w:rPr>
        <w:t xml:space="preserve"> 把约束与规模并置，可得一个粗略的量级估算。"固收+"产品的3.54万亿元规模中，按基金合同权益仓位0—40%的中位即约20%计，权益资产约为0.71万亿元。第七节的测算表明，回撤控制带来约3.79个百分点的年化收益当量损失，对应每年约269亿元的机会成本；杠杆约束的成本仅约0.36个百分点，约26亿元。两者相差一个数量级。</w:t>
      </w:r>
    </w:p>
    <w:p>
      <w:pPr>
        <w:spacing w:before="0" w:after="60" w:line="360" w:lineRule="auto"/>
        <w:ind w:firstLine="480"/>
      </w:pPr>
      <w:r>
        <w:rPr>
          <w:rFonts w:ascii="Times New Roman" w:hAnsi="Times New Roman" w:eastAsia="宋体"/>
          <w:b w:val="0"/>
          <w:i w:val="0"/>
          <w:sz w:val="24"/>
        </w:rPr>
        <w:t>这些数字并不构成对实际福利损失的估计，只是一次反事实的量级提示。它至少依赖四项在现实中难以成立的假设：全部3.54万亿元产品都采用本文给定的资产池与参数；实际权益仓位恰为区间中位；回撤控制条款与本文阈值一致；信号、执行与费率无差异。任何一项被放松，具体数字都会大幅变动。因此这批数字只支持一个排序判断，即回撤控制的单位成本远高于杠杆约束，不支持任何总量判断，后文的政策讨论也严格建立在这一限定之上。</w:t>
      </w:r>
    </w:p>
    <w:p>
      <w:pPr>
        <w:spacing w:before="0" w:after="60" w:line="360" w:lineRule="auto"/>
        <w:ind w:firstLine="480"/>
      </w:pPr>
      <w:r>
        <w:rPr>
          <w:rFonts w:ascii="Times New Roman" w:hAnsi="Times New Roman" w:eastAsia="宋体"/>
          <w:b w:val="0"/>
          <w:i w:val="0"/>
          <w:sz w:val="24"/>
        </w:rPr>
        <w:t>上述事实指向同一个研究情境：</w:t>
      </w:r>
    </w:p>
    <w:p>
      <w:pPr>
        <w:spacing w:before="120" w:after="120" w:line="336" w:lineRule="auto"/>
        <w:ind w:left="480" w:right="480"/>
      </w:pPr>
      <w:r>
        <w:rPr>
          <w:rFonts w:ascii="Times New Roman" w:hAnsi="Times New Roman" w:eastAsia="楷体"/>
          <w:b w:val="0"/>
          <w:i w:val="0"/>
          <w:sz w:val="22"/>
        </w:rPr>
        <w:t>在中国，数以亿计的个人投资者与数万亿规模的"固收+"产品，同时面临"不能使用杠杆"与"必须控制回撤"两重约束。而在这两重约束的交汇处，**波动率目标与回撤控制的交互效应既未被理论刻画，也未被实证检验。**</w:t>
      </w:r>
    </w:p>
    <w:p>
      <w:pPr>
        <w:spacing w:before="240" w:after="100" w:line="360" w:lineRule="auto"/>
      </w:pPr>
      <w:r>
        <w:rPr>
          <w:rFonts w:ascii="Times New Roman" w:hAnsi="Times New Roman" w:eastAsia="黑体"/>
          <w:b/>
          <w:i w:val="0"/>
          <w:sz w:val="26"/>
        </w:rPr>
        <w:t>1.2 问题的提出</w:t>
      </w:r>
    </w:p>
    <w:p>
      <w:pPr>
        <w:spacing w:before="0" w:after="60" w:line="360" w:lineRule="auto"/>
        <w:ind w:firstLine="480"/>
      </w:pPr>
      <w:r>
        <w:rPr>
          <w:rFonts w:ascii="Times New Roman" w:hAnsi="Times New Roman" w:eastAsia="宋体"/>
          <w:b w:val="0"/>
          <w:i w:val="0"/>
          <w:sz w:val="24"/>
        </w:rPr>
        <w:t>资产管理实践中，"用什么方法控制风险"往往比"买什么资产"更能决定长期结果。过去四十年间，学术界与业界发展出三类主流的规则型风险overlay：以 Black and Jones（1987）、Perold and Sharpe（1988）为代表的组合保险（CPPI/TIPP），以 Fleming et al.（2001, 2003）、Moreira and Muir（2017）为代表的波动率择时，以及以保护移动高水位线为目标的回撤控制。三者的共同特征是不预测市场，只对已发生的风险做出机械反应。这一特征既是优势所在——无需预测能力，也是软肋所在——行动总在坏消息之后。</w:t>
      </w:r>
    </w:p>
    <w:p>
      <w:pPr>
        <w:spacing w:before="0" w:after="60" w:line="360" w:lineRule="auto"/>
        <w:ind w:firstLine="480"/>
      </w:pPr>
      <w:r>
        <w:rPr>
          <w:rFonts w:ascii="Times New Roman" w:hAnsi="Times New Roman" w:eastAsia="宋体"/>
          <w:b w:val="0"/>
          <w:i w:val="0"/>
          <w:sz w:val="24"/>
        </w:rPr>
        <w:t>一个在实务中被广泛采用却鲜有学术研究检验的做法是：</w:t>
      </w:r>
      <w:r>
        <w:rPr>
          <w:rFonts w:ascii="Times New Roman" w:hAnsi="Times New Roman" w:eastAsia="宋体"/>
          <w:b/>
          <w:i w:val="0"/>
          <w:sz w:val="24"/>
        </w:rPr>
        <w:t>同时使用多层风控</w:t>
      </w:r>
      <w:r>
        <w:rPr>
          <w:rFonts w:ascii="Times New Roman" w:hAnsi="Times New Roman" w:eastAsia="宋体"/>
          <w:b w:val="0"/>
          <w:i w:val="0"/>
          <w:sz w:val="24"/>
        </w:rPr>
        <w:t>。国内券商的"固收+"产品设计普遍采用"战略配置→战术择时→资金管理（TIPP）"的三层架构；国泰君安等机构的多资产配置研究明确将"波动率目标控仓"与"崩溃空仓机制"作为两层并列的风控手段。这一做法隐含的假设是，多层风控的效果可以叠加：风险下降，收益大致保持。</w:t>
      </w:r>
    </w:p>
    <w:p>
      <w:pPr>
        <w:spacing w:before="0" w:after="60" w:line="360" w:lineRule="auto"/>
        <w:ind w:firstLine="480"/>
      </w:pPr>
      <w:r>
        <w:rPr>
          <w:rFonts w:ascii="Times New Roman" w:hAnsi="Times New Roman" w:eastAsia="宋体"/>
          <w:b w:val="0"/>
          <w:i w:val="0"/>
          <w:sz w:val="24"/>
        </w:rPr>
        <w:t>本文的核心问题是：</w:t>
      </w:r>
      <w:r>
        <w:rPr>
          <w:rFonts w:ascii="Times New Roman" w:hAnsi="Times New Roman" w:eastAsia="宋体"/>
          <w:b/>
          <w:i w:val="0"/>
          <w:sz w:val="24"/>
        </w:rPr>
        <w:t>这个假设成立吗？</w:t>
      </w:r>
    </w:p>
    <w:p>
      <w:pPr>
        <w:spacing w:before="240" w:after="100" w:line="360" w:lineRule="auto"/>
      </w:pPr>
      <w:r>
        <w:rPr>
          <w:rFonts w:ascii="Times New Roman" w:hAnsi="Times New Roman" w:eastAsia="黑体"/>
          <w:b/>
          <w:i w:val="0"/>
          <w:sz w:val="26"/>
        </w:rPr>
        <w:t>1.3 为什么这个问题重要</w:t>
      </w:r>
    </w:p>
    <w:p>
      <w:pPr>
        <w:spacing w:before="0" w:after="60" w:line="360" w:lineRule="auto"/>
        <w:ind w:firstLine="480"/>
      </w:pPr>
      <w:r>
        <w:rPr>
          <w:rFonts w:ascii="Times New Roman" w:hAnsi="Times New Roman" w:eastAsia="宋体"/>
          <w:b w:val="0"/>
          <w:i w:val="0"/>
          <w:sz w:val="24"/>
        </w:rPr>
        <w:t xml:space="preserve">Moreira and Muir（2017）在 </w:t>
      </w:r>
      <w:r>
        <w:rPr>
          <w:rFonts w:ascii="Times New Roman" w:hAnsi="Times New Roman" w:eastAsia="宋体"/>
          <w:b w:val="0"/>
          <w:i w:val="0"/>
          <w:sz w:val="24"/>
        </w:rPr>
        <w:t>*Journal of Finance*</w:t>
      </w:r>
      <w:r>
        <w:rPr>
          <w:rFonts w:ascii="Times New Roman" w:hAnsi="Times New Roman" w:eastAsia="宋体"/>
          <w:b w:val="0"/>
          <w:i w:val="0"/>
          <w:sz w:val="24"/>
        </w:rPr>
        <w:t xml:space="preserve"> 发表的研究表明，通过"低波动时加仓、高波动时减仓"的波动率管理，可以显著提升夏普比率。该结论随即受到质疑：Liu et al.（2019）指出其方差缩放系数存在 look-ahead bias；Cederburg et al.（2020）在 </w:t>
      </w:r>
      <w:r>
        <w:rPr>
          <w:rFonts w:ascii="Times New Roman" w:hAnsi="Times New Roman" w:eastAsia="宋体"/>
          <w:b w:val="0"/>
          <w:i w:val="0"/>
          <w:sz w:val="24"/>
        </w:rPr>
        <w:t>*JFE*</w:t>
      </w:r>
      <w:r>
        <w:rPr>
          <w:rFonts w:ascii="Times New Roman" w:hAnsi="Times New Roman" w:eastAsia="宋体"/>
          <w:b w:val="0"/>
          <w:i w:val="0"/>
          <w:sz w:val="24"/>
        </w:rPr>
        <w:t xml:space="preserve"> 上用103个股票策略证明，实时实施下72%的策略跑输未管理组合；Bongaerts et al.（2020）在 </w:t>
      </w:r>
      <w:r>
        <w:rPr>
          <w:rFonts w:ascii="Times New Roman" w:hAnsi="Times New Roman" w:eastAsia="宋体"/>
          <w:b w:val="0"/>
          <w:i w:val="0"/>
          <w:sz w:val="24"/>
        </w:rPr>
        <w:t>*FAJ*</w:t>
      </w:r>
      <w:r>
        <w:rPr>
          <w:rFonts w:ascii="Times New Roman" w:hAnsi="Times New Roman" w:eastAsia="宋体"/>
          <w:b w:val="0"/>
          <w:i w:val="0"/>
          <w:sz w:val="24"/>
        </w:rPr>
        <w:t xml:space="preserve"> 上进一步指出，传统波动率目标会显著"超调"波动目标，反而扩大最大回撤与尾部风险。</w:t>
      </w:r>
    </w:p>
    <w:p>
      <w:pPr>
        <w:spacing w:before="0" w:after="60" w:line="360" w:lineRule="auto"/>
        <w:ind w:firstLine="480"/>
      </w:pPr>
      <w:r>
        <w:rPr>
          <w:rFonts w:ascii="Times New Roman" w:hAnsi="Times New Roman" w:eastAsia="宋体"/>
          <w:b w:val="0"/>
          <w:i w:val="0"/>
          <w:sz w:val="24"/>
        </w:rPr>
        <w:t>这场争论有一个</w:t>
      </w:r>
      <w:r>
        <w:rPr>
          <w:rFonts w:ascii="Times New Roman" w:hAnsi="Times New Roman" w:eastAsia="宋体"/>
          <w:b/>
          <w:i w:val="0"/>
          <w:sz w:val="24"/>
        </w:rPr>
        <w:t>被忽视的共同前提</w:t>
      </w:r>
      <w:r>
        <w:rPr>
          <w:rFonts w:ascii="Times New Roman" w:hAnsi="Times New Roman" w:eastAsia="宋体"/>
          <w:b w:val="0"/>
          <w:i w:val="0"/>
          <w:sz w:val="24"/>
        </w:rPr>
        <w:t>：上述研究几乎全部假设投资者可以自由调整杠杆，Moreira-Muir 框架中"低波动时加仓"本质上就是加杠杆。现实中却存在大量无法使用杠杆的投资者：中国零售投资者受限于融资融券门槛与场内ETF缺乏杠杆品种，"固收+"产品亦受合同权益仓位上限的约束。在 Ē=1 下，波动率目标函数 e^V=min(σ*/σ̂, 1) 被截断，"加仓"通道关闭，只剩下"减仓"通道，策略的性质随之改变。</w:t>
      </w:r>
    </w:p>
    <w:p>
      <w:pPr>
        <w:spacing w:before="0" w:after="60" w:line="360" w:lineRule="auto"/>
        <w:ind w:firstLine="480"/>
      </w:pPr>
      <w:r>
        <w:rPr>
          <w:rFonts w:ascii="Times New Roman" w:hAnsi="Times New Roman" w:eastAsia="宋体"/>
          <w:b w:val="0"/>
          <w:i w:val="0"/>
          <w:sz w:val="24"/>
        </w:rPr>
        <w:t>问题还有第二层。当回撤控制以乘性方式叠加其上时，两层风控的减仓动作会在同一时期同步发生，因为高波动期往往也是回撤最深期。本文称之为</w:t>
      </w:r>
      <w:r>
        <w:rPr>
          <w:rFonts w:ascii="Times New Roman" w:hAnsi="Times New Roman" w:eastAsia="宋体"/>
          <w:b/>
          <w:i w:val="0"/>
          <w:sz w:val="24"/>
        </w:rPr>
        <w:t>"双重去杠杆陷阱"（Double Deleveraging Trap）</w:t>
      </w:r>
      <w:r>
        <w:rPr>
          <w:rFonts w:ascii="Times New Roman" w:hAnsi="Times New Roman" w:eastAsia="宋体"/>
          <w:b w:val="0"/>
          <w:i w:val="0"/>
          <w:sz w:val="24"/>
        </w:rPr>
        <w:t>。</w:t>
      </w:r>
    </w:p>
    <w:p>
      <w:pPr>
        <w:spacing w:before="240" w:after="100" w:line="360" w:lineRule="auto"/>
      </w:pPr>
      <w:r>
        <w:rPr>
          <w:rFonts w:ascii="Times New Roman" w:hAnsi="Times New Roman" w:eastAsia="黑体"/>
          <w:b/>
          <w:i w:val="0"/>
          <w:sz w:val="26"/>
        </w:rPr>
        <w:t>1.4 主要发现</w:t>
      </w:r>
    </w:p>
    <w:p>
      <w:pPr>
        <w:spacing w:before="0" w:after="60" w:line="360" w:lineRule="auto"/>
        <w:ind w:firstLine="480"/>
      </w:pPr>
      <w:r>
        <w:rPr>
          <w:rFonts w:ascii="Times New Roman" w:hAnsi="Times New Roman" w:eastAsia="宋体"/>
          <w:b w:val="0"/>
          <w:i w:val="0"/>
          <w:sz w:val="24"/>
        </w:rPr>
        <w:t>本文的实证结果有四个层次。</w:t>
      </w:r>
    </w:p>
    <w:p>
      <w:pPr>
        <w:spacing w:before="0" w:after="60" w:line="360" w:lineRule="auto"/>
        <w:ind w:firstLine="480"/>
      </w:pPr>
      <w:r>
        <w:rPr>
          <w:rFonts w:ascii="Times New Roman" w:hAnsi="Times New Roman" w:eastAsia="宋体"/>
          <w:b/>
          <w:i w:val="0"/>
          <w:sz w:val="24"/>
        </w:rPr>
        <w:t>第一，前沿形状的分岔。</w:t>
      </w:r>
      <w:r>
        <w:rPr>
          <w:rFonts w:ascii="Times New Roman" w:hAnsi="Times New Roman" w:eastAsia="宋体"/>
          <w:b w:val="0"/>
          <w:i w:val="0"/>
          <w:sz w:val="24"/>
        </w:rPr>
        <w:t xml:space="preserve"> 单独使用波动率目标时，年化收益随目标波动单调递增（3%→12%对应 5.48%→11.28%）；叠加回撤控制后前沿转为单峰，内点最优落在目标波动5.5%（年化6.47%、最大回撤−4.15%、夏普1.43、卡玛1.56），此后继续放大目标波动，年化收益反而下降至5.37%（σ*=12%）。</w:t>
      </w:r>
    </w:p>
    <w:p>
      <w:pPr>
        <w:spacing w:before="0" w:after="60" w:line="360" w:lineRule="auto"/>
        <w:ind w:firstLine="480"/>
      </w:pPr>
      <w:r>
        <w:rPr>
          <w:rFonts w:ascii="Times New Roman" w:hAnsi="Times New Roman" w:eastAsia="宋体"/>
          <w:b/>
          <w:i w:val="0"/>
          <w:sz w:val="24"/>
        </w:rPr>
        <w:t>第二，交互效应的量化。</w:t>
      </w:r>
      <w:r>
        <w:rPr>
          <w:rFonts w:ascii="Times New Roman" w:hAnsi="Times New Roman" w:eastAsia="宋体"/>
          <w:b w:val="0"/>
          <w:i w:val="0"/>
          <w:sz w:val="24"/>
        </w:rPr>
        <w:t xml:space="preserve"> 按"收益—目标波动"关系分别估计两条分支的斜率：关闭回撤控制时为 +0.6479（R²=0.988），开启后骤降至 +0.0270（R²=0.020），斜率之差 −0.6209 几乎完全抵消主效应，抵消幅度95.8%（该比较的推断口径说明见第4.3节）。block bootstrap 以21日为块、重复抽样2000次，给出内点最优相对高目标波动的夏普优势 +0.439，95%置信区间[0.092, 0.772]，p=0.012。</w:t>
      </w:r>
    </w:p>
    <w:p>
      <w:pPr>
        <w:spacing w:before="0" w:after="60" w:line="360" w:lineRule="auto"/>
        <w:ind w:firstLine="480"/>
      </w:pPr>
      <w:r>
        <w:rPr>
          <w:rFonts w:ascii="Times New Roman" w:hAnsi="Times New Roman" w:eastAsia="宋体"/>
          <w:b/>
          <w:i w:val="0"/>
          <w:sz w:val="24"/>
        </w:rPr>
        <w:t>第三，机制的识别。</w:t>
      </w:r>
      <w:r>
        <w:rPr>
          <w:rFonts w:ascii="Times New Roman" w:hAnsi="Times New Roman" w:eastAsia="宋体"/>
          <w:b w:val="0"/>
          <w:i w:val="0"/>
          <w:sz w:val="24"/>
        </w:rPr>
        <w:t xml:space="preserve"> 回撤控制使敞口实现率（实际波动与目标波动之比）从0.821单调降至0.461，敞口削减比例从28.4%升至60.1%。具体看，目标敞口从0.444提升至0.852，升幅92%，有效敞口却仅从0.318升至0.340，升幅6.9%：增加的风险预算中约93%从未被使用。收益归因显示，回撤控制吞噬的主要是敞口效应（σ*=12%时从10.36%降至4.13%），择时能力基本未受影响。事件研究则不支持"减错时点"的解释：以未施加风控的参照组合作状态控制后，重度减仓期之后的市场前瞻收益在20—120日窗口内低于未减仓期（−0.69至−5.82个百分点），仅250日窗口略高0.45个百分点，两组前瞻收益之差在 block bootstrap 下不显著（p=0.653）。本文据此不主张"回撤控制减错了时点"：即便时点判断正确，被压至15%的仓位也无法参与此后的修复，损失来自敞口被压制后的复利损失与棘轮效应。</w:t>
      </w:r>
    </w:p>
    <w:p>
      <w:pPr>
        <w:spacing w:before="0" w:after="60" w:line="360" w:lineRule="auto"/>
        <w:ind w:firstLine="480"/>
      </w:pPr>
      <w:r>
        <w:rPr>
          <w:rFonts w:ascii="Times New Roman" w:hAnsi="Times New Roman" w:eastAsia="宋体"/>
          <w:b/>
          <w:i w:val="0"/>
          <w:sz w:val="24"/>
        </w:rPr>
        <w:t>第四，约束成本的量化指向了另一重约束。</w:t>
      </w:r>
      <w:r>
        <w:rPr>
          <w:rFonts w:ascii="Times New Roman" w:hAnsi="Times New Roman" w:eastAsia="宋体"/>
          <w:b w:val="0"/>
          <w:i w:val="0"/>
          <w:sz w:val="24"/>
        </w:rPr>
        <w:t xml:space="preserve"> 以效用、收益、风险三种口径度量，一旦叠加回撤控制，杠杆约束的福利成本即降至接近于零（γ=1 效用口径0.363pp；回撤上限6%时收益口径−0.09pp；收益目标≤6%时风险口径0.00pp），而回撤控制本身的成本高达3.794pp。两重约束之中，回撤控制才是福利损失的主要来源。</w:t>
      </w:r>
    </w:p>
    <w:p>
      <w:pPr>
        <w:spacing w:before="0" w:after="60" w:line="360" w:lineRule="auto"/>
        <w:ind w:firstLine="480"/>
      </w:pPr>
      <w:r>
        <w:rPr>
          <w:rFonts w:ascii="Times New Roman" w:hAnsi="Times New Roman" w:eastAsia="宋体"/>
          <w:b w:val="0"/>
          <w:i w:val="0"/>
          <w:sz w:val="24"/>
        </w:rPr>
        <w:t>此处须预先声明一处边界。内点最优并非无条件成立：四组回撤控制阈值中仅触发线较紧的两组出现内点最优，宽松组与连续线性 ramp 变体的前沿仍单调递增，单峰形状因此应读作"足够紧的回撤控制"与"无法使用杠杆"两项条件的联合产物。成本层结论不受此限制——全部变体中回撤控制在 σ*=12% 处造成的收益损失稳定在4.10至7.40个百分点——故本文的核心主张放在成本层，形状层仅作为条件性发现报告。</w:t>
      </w:r>
    </w:p>
    <w:p>
      <w:pPr>
        <w:spacing w:before="240" w:after="100" w:line="360" w:lineRule="auto"/>
      </w:pPr>
      <w:r>
        <w:rPr>
          <w:rFonts w:ascii="Times New Roman" w:hAnsi="Times New Roman" w:eastAsia="黑体"/>
          <w:b/>
          <w:i w:val="0"/>
          <w:sz w:val="26"/>
        </w:rPr>
        <w:t>1.5 边际贡献</w:t>
      </w:r>
    </w:p>
    <w:p>
      <w:pPr>
        <w:spacing w:before="0" w:after="60" w:line="360" w:lineRule="auto"/>
        <w:ind w:firstLine="480"/>
      </w:pPr>
      <w:r>
        <w:rPr>
          <w:rFonts w:ascii="Times New Roman" w:hAnsi="Times New Roman" w:eastAsia="宋体"/>
          <w:b w:val="0"/>
          <w:i w:val="0"/>
          <w:sz w:val="24"/>
        </w:rPr>
        <w:t>在展开具体贡献之前，有必要先明确本文主张的类型。本文不是一篇"策略优于基准"的资产配置论文：策略含有在样本内被检验的参数，其相对国债ETF的风险调整优势未获统计支持（p=0.774），相对股票指数的优势也部分来自低波动本身。本文识别的是一类机制——在无杠杆约束下，波动率目标与回撤控制之间存在负交互，它使"提高风险预算换取收益"这一基本操作在超过阈值后失效，并改变约束成本的排序。机制识别类研究的评价标准是该机制是否存在、是否可量化、是否可被证伪，而非该策略是否跑赢，本文全部稳健性检验均据此设计。</w:t>
      </w:r>
    </w:p>
    <w:p>
      <w:pPr>
        <w:spacing w:before="0" w:after="60" w:line="360" w:lineRule="auto"/>
        <w:ind w:firstLine="480"/>
      </w:pPr>
      <w:r>
        <w:rPr>
          <w:rFonts w:ascii="Times New Roman" w:hAnsi="Times New Roman" w:eastAsia="宋体"/>
          <w:b w:val="0"/>
          <w:i w:val="0"/>
          <w:sz w:val="24"/>
        </w:rPr>
        <w:t>本文的边际贡献有五个方面。</w:t>
      </w:r>
    </w:p>
    <w:p>
      <w:pPr>
        <w:spacing w:before="0" w:after="60" w:line="360" w:lineRule="auto"/>
        <w:ind w:firstLine="480"/>
      </w:pPr>
      <w:r>
        <w:rPr>
          <w:rFonts w:ascii="Times New Roman" w:hAnsi="Times New Roman" w:eastAsia="宋体"/>
          <w:b w:val="0"/>
          <w:i w:val="0"/>
          <w:sz w:val="24"/>
        </w:rPr>
        <w:t>其一，拓展了波动率择时的研究边界。既有文献（Moreira and Muir, 2017; Cederburg et al., 2020; Bongaerts et al., 2020）均以可自由加杠杆为前提。本文把同一框架置于无杠杆约束之下，证明其收益-风险前沿的形状与有杠杆情形存在本质差异，也为实务中"波动率目标效果不稳定"提供了一种解释，即差异的根源可能不在市场，而在杠杆约束。</w:t>
      </w:r>
    </w:p>
    <w:p>
      <w:pPr>
        <w:spacing w:before="0" w:after="60" w:line="360" w:lineRule="auto"/>
        <w:ind w:firstLine="480"/>
      </w:pPr>
      <w:r>
        <w:rPr>
          <w:rFonts w:ascii="Times New Roman" w:hAnsi="Times New Roman" w:eastAsia="宋体"/>
          <w:b w:val="0"/>
          <w:i w:val="0"/>
          <w:sz w:val="24"/>
        </w:rPr>
        <w:t>其二，提出"双重去杠杆陷阱"这一机制假设并给出可证伪的检验。既有研究孤立评估单层风控，本文证明两层之间存在显著的负交互，且该交互无法通过放松杠杆约束化解——放松至 Ē=2 后内点最优依然存在，末端衰减仅从0.67pp降至0.14pp。原因在于回撤控制的削减是</w:t>
      </w:r>
      <w:r>
        <w:rPr>
          <w:rFonts w:ascii="Times New Roman" w:hAnsi="Times New Roman" w:eastAsia="宋体"/>
          <w:b/>
          <w:i w:val="0"/>
          <w:sz w:val="24"/>
        </w:rPr>
        <w:t>乘性</w:t>
      </w:r>
      <w:r>
        <w:rPr>
          <w:rFonts w:ascii="Times New Roman" w:hAnsi="Times New Roman" w:eastAsia="宋体"/>
          <w:b w:val="0"/>
          <w:i w:val="0"/>
          <w:sz w:val="24"/>
        </w:rPr>
        <w:t>的，杠杆只能放大第一层的产出，无法对抗第二层的削减比例。证据取自单一市场、单一资产池与单一参数族，外部有效性有待跨市场检验，对该假设的态度因此是"未被证伪"而非"已被证实"。</w:t>
      </w:r>
    </w:p>
    <w:p>
      <w:pPr>
        <w:spacing w:before="0" w:after="60" w:line="360" w:lineRule="auto"/>
        <w:ind w:firstLine="480"/>
      </w:pPr>
      <w:r>
        <w:rPr>
          <w:rFonts w:ascii="Times New Roman" w:hAnsi="Times New Roman" w:eastAsia="宋体"/>
          <w:b w:val="0"/>
          <w:i w:val="0"/>
          <w:sz w:val="24"/>
        </w:rPr>
        <w:t>其三，提供了来自中国多资产市场的独立证据。现有波动率管理研究以美股为中心，而中国市场的高波动、高换手与散户主导特征构成一个不同的检验环境，样本覆盖2015年股灾、2018年熊市、2020年疫情冲击、2022年股债汇三杀等极端事件。2.3节梳理了中国本土的动量与反转证据，据此不使用已被反复证明不显著的月度横截面动量，风险 overlay 的检验因而不受"管理了一串噪声"这一替代解释的困扰。</w:t>
      </w:r>
    </w:p>
    <w:p>
      <w:pPr>
        <w:spacing w:before="0" w:after="60" w:line="360" w:lineRule="auto"/>
        <w:ind w:firstLine="480"/>
      </w:pPr>
      <w:r>
        <w:rPr>
          <w:rFonts w:ascii="Times New Roman" w:hAnsi="Times New Roman" w:eastAsia="宋体"/>
          <w:b w:val="0"/>
          <w:i w:val="0"/>
          <w:sz w:val="24"/>
        </w:rPr>
        <w:t>其四，一项方法论上的发现。ETF 份额折算会造成严重的价格假跳变：纳斯达克100 ETF 在2022-01-14出现单日−80.4%，中证500 ETF 在2015-04-15出现单日+248.5%。若不作校正，纳斯达克100 ETF 的回测年化将从校正后的21.03%被低估至6.68%，偏差达14.35个百分点（该校正检验的序列口径见第6.4节表16）。本文报告了这一数据陷阱及其校正方法，对后续使用中国 ETF 数据的研究有直接参考价值。</w:t>
      </w:r>
    </w:p>
    <w:p>
      <w:pPr>
        <w:spacing w:before="0" w:after="60" w:line="360" w:lineRule="auto"/>
        <w:ind w:firstLine="480"/>
      </w:pPr>
      <w:r>
        <w:rPr>
          <w:rFonts w:ascii="Times New Roman" w:hAnsi="Times New Roman" w:eastAsia="宋体"/>
          <w:b w:val="0"/>
          <w:i w:val="0"/>
          <w:sz w:val="24"/>
        </w:rPr>
        <w:t>其五，把两重约束的福利成本放在同一尺度上度量。本文在56个目标波动、杠杆上限与回撤控制状态的组合上，以效用、收益、风险三种口径度量约束成本，结果显示：在回撤被严格控制时，杠杆约束的福利成本接近于零，最低至0.00pp，而回撤控制本身的成本达3.794pp，为前者的10.4倍。这一排序为"应当优先放松哪一重约束"的政策讨论提供了直接依据。</w:t>
      </w:r>
    </w:p>
    <w:p>
      <w:pPr>
        <w:spacing w:before="0" w:after="60" w:line="360" w:lineRule="auto"/>
        <w:ind w:firstLine="480"/>
      </w:pPr>
      <w:r>
        <w:rPr>
          <w:rFonts w:ascii="Times New Roman" w:hAnsi="Times New Roman" w:eastAsia="宋体"/>
          <w:b w:val="0"/>
          <w:i w:val="0"/>
          <w:sz w:val="24"/>
        </w:rPr>
        <w:t>本文后续结构：第二部分为文献综述与理论模型；第三部分为研究设计；第四部分报告实证结果；第五部分为机制检验与数值模拟；第六部分为稳健性检验；第七部分为约束成本的量化讨论；第八部分为结论与启示。</w:t>
      </w:r>
    </w:p>
    <w:p>
      <w:pPr>
        <w:spacing w:before="320" w:after="200" w:line="360" w:lineRule="auto"/>
        <w:jc w:val="center"/>
      </w:pPr>
      <w:r>
        <w:rPr>
          <w:rFonts w:ascii="Times New Roman" w:hAnsi="Times New Roman" w:eastAsia="黑体"/>
          <w:b/>
          <w:i w:val="0"/>
          <w:sz w:val="30"/>
        </w:rPr>
        <w:t>二、文献综述与理论模型</w:t>
      </w:r>
    </w:p>
    <w:p>
      <w:pPr>
        <w:spacing w:before="240" w:after="100" w:line="360" w:lineRule="auto"/>
      </w:pPr>
      <w:r>
        <w:rPr>
          <w:rFonts w:ascii="Times New Roman" w:hAnsi="Times New Roman" w:eastAsia="黑体"/>
          <w:b/>
          <w:i w:val="0"/>
          <w:sz w:val="26"/>
        </w:rPr>
        <w:t>2.1 波动率目标：从"免费午餐"到实时实施的争论</w:t>
      </w:r>
    </w:p>
    <w:p>
      <w:pPr>
        <w:spacing w:before="0" w:after="60" w:line="360" w:lineRule="auto"/>
        <w:ind w:firstLine="480"/>
      </w:pPr>
      <w:r>
        <w:rPr>
          <w:rFonts w:ascii="Times New Roman" w:hAnsi="Times New Roman" w:eastAsia="宋体"/>
          <w:b w:val="0"/>
          <w:i w:val="0"/>
          <w:sz w:val="24"/>
        </w:rPr>
        <w:t>波动率管理依赖两个典型事实：波动率聚集（clustering），以及已实现波动与未来收益的弱负相关。Fleming et al.（2001, 2003）最早证明波动率择时具有经济价值。Moreira and Muir（2017）将其系统化为"波动率管理组合"（VMP）：以 σ*/σ̂²_{t} 缩放风险资产敞口，对市场组合及规模、价值、动量、盈利、投资等因子均能显著提升夏普比率，扣除交易成本与杠杆约束后收益依然稳健。</w:t>
      </w:r>
    </w:p>
    <w:p>
      <w:pPr>
        <w:spacing w:before="0" w:after="60" w:line="360" w:lineRule="auto"/>
        <w:ind w:firstLine="480"/>
      </w:pPr>
      <w:r>
        <w:rPr>
          <w:rFonts w:ascii="Times New Roman" w:hAnsi="Times New Roman" w:eastAsia="宋体"/>
          <w:b w:val="0"/>
          <w:i w:val="0"/>
          <w:sz w:val="24"/>
        </w:rPr>
        <w:t>此后这一"免费午餐"受到持续检验，最先被质疑的是实时可行性。Moreira-Muir 的方差缩放系数系事后（ex post）构造，Liu et al.（2019）指出这一点后，实时校准下的表现显著恶化；Cederburg et al.（2020）在103个股票策略上的验证给出了更硬的口径：实时实施下，72%的策略夏普比率低于未管理组合。</w:t>
      </w:r>
    </w:p>
    <w:p>
      <w:pPr>
        <w:spacing w:before="0" w:after="60" w:line="360" w:lineRule="auto"/>
        <w:ind w:firstLine="480"/>
      </w:pPr>
      <w:r>
        <w:rPr>
          <w:rFonts w:ascii="Times New Roman" w:hAnsi="Times New Roman" w:eastAsia="宋体"/>
          <w:b w:val="0"/>
          <w:i w:val="0"/>
          <w:sz w:val="24"/>
        </w:rPr>
        <w:t xml:space="preserve">即便引入六种成本缓释方案，除市场组合外多数因子的 VMP 在扣除成本后 alpha 归零、夏普比率显著下降——Barroso and Detzel（2021）在 </w:t>
      </w:r>
      <w:r>
        <w:rPr>
          <w:rFonts w:ascii="Times New Roman" w:hAnsi="Times New Roman" w:eastAsia="宋体"/>
          <w:b w:val="0"/>
          <w:i w:val="0"/>
          <w:sz w:val="24"/>
        </w:rPr>
        <w:t>*JFE*</w:t>
      </w:r>
      <w:r>
        <w:rPr>
          <w:rFonts w:ascii="Times New Roman" w:hAnsi="Times New Roman" w:eastAsia="宋体"/>
          <w:b w:val="0"/>
          <w:i w:val="0"/>
          <w:sz w:val="24"/>
        </w:rPr>
        <w:t xml:space="preserve"> 上从交易成本、套利风险与卖空约束三个角度检验均指向这一结果。唯一的例外是市场组合：其超额收益集中于套利风险低、易做空的股票，且仅在情绪高涨期出现。</w:t>
      </w:r>
    </w:p>
    <w:p>
      <w:pPr>
        <w:spacing w:before="0" w:after="60" w:line="360" w:lineRule="auto"/>
        <w:ind w:firstLine="480"/>
      </w:pPr>
      <w:r>
        <w:rPr>
          <w:rFonts w:ascii="Times New Roman" w:hAnsi="Times New Roman" w:eastAsia="宋体"/>
          <w:b w:val="0"/>
          <w:i w:val="0"/>
          <w:sz w:val="24"/>
        </w:rPr>
        <w:t>还有一类质疑指向实施效果本身：传统的波动率目标会显著超调波动目标，反而扩大最大回撤与尾部风险，并带来超过200%/年的换手率与时变杠杆（Bongaerts et al., 2020）。</w:t>
      </w:r>
    </w:p>
    <w:p>
      <w:pPr>
        <w:spacing w:before="0" w:after="60" w:line="360" w:lineRule="auto"/>
        <w:ind w:firstLine="480"/>
      </w:pPr>
      <w:r>
        <w:rPr>
          <w:rFonts w:ascii="Times New Roman" w:hAnsi="Times New Roman" w:eastAsia="宋体"/>
          <w:b w:val="0"/>
          <w:i w:val="0"/>
          <w:sz w:val="24"/>
        </w:rPr>
        <w:t>后续改进沿三条路径展开：下行波动率管理优于总波动率管理（Wang and Yan, 2021）；Bongaerts et al.（2020）提出按极端波动状态调整敞口的条件波动率目标；Xu（2026）则给出实时改进的缩放方案。</w:t>
      </w:r>
    </w:p>
    <w:p>
      <w:pPr>
        <w:spacing w:before="0" w:after="60" w:line="360" w:lineRule="auto"/>
        <w:ind w:firstLine="480"/>
      </w:pPr>
      <w:r>
        <w:rPr>
          <w:rFonts w:ascii="Times New Roman" w:hAnsi="Times New Roman" w:eastAsia="宋体"/>
          <w:b/>
          <w:i w:val="0"/>
          <w:sz w:val="24"/>
        </w:rPr>
        <w:t>本文的定位</w:t>
      </w:r>
      <w:r>
        <w:rPr>
          <w:rFonts w:ascii="Times New Roman" w:hAnsi="Times New Roman" w:eastAsia="宋体"/>
          <w:b w:val="0"/>
          <w:i w:val="0"/>
          <w:sz w:val="24"/>
        </w:rPr>
        <w:t>：上述研究均以可自由加杠杆为前提。本文考察 Ē=1（无杠杆）这一在零售投资者与"固收+"产品中极其常见、却长期被学术界忽视的约束。</w:t>
      </w:r>
    </w:p>
    <w:p>
      <w:pPr>
        <w:spacing w:before="240" w:after="100" w:line="360" w:lineRule="auto"/>
      </w:pPr>
      <w:r>
        <w:rPr>
          <w:rFonts w:ascii="Times New Roman" w:hAnsi="Times New Roman" w:eastAsia="黑体"/>
          <w:b/>
          <w:i w:val="0"/>
          <w:sz w:val="26"/>
        </w:rPr>
        <w:t>2.2 回撤控制与组合保险：whipsaw 成本</w:t>
      </w:r>
    </w:p>
    <w:p>
      <w:pPr>
        <w:spacing w:before="0" w:after="60" w:line="360" w:lineRule="auto"/>
        <w:ind w:firstLine="480"/>
      </w:pPr>
      <w:r>
        <w:rPr>
          <w:rFonts w:ascii="Times New Roman" w:hAnsi="Times New Roman" w:eastAsia="宋体"/>
          <w:b w:val="0"/>
          <w:i w:val="0"/>
          <w:sz w:val="24"/>
        </w:rPr>
        <w:t>组合保险的经典形式是 CPPI（Black and Jones, 1987；Perold and Sharpe, 1988）：风险资产敞口 = 乘数 ×（组合价值 − 保本底线）。其 payoff 近似看涨期权，但在均值回复的震荡市中系统性跑输买入持有，因为顺周期的再平衡产生"高买低卖"，即 whipsaw。1987年股灾则暴露了 CPPI 的缺口风险（gap risk）：单日暴跌可在再平衡前击穿底线。</w:t>
      </w:r>
    </w:p>
    <w:p>
      <w:pPr>
        <w:spacing w:before="0" w:after="60" w:line="360" w:lineRule="auto"/>
        <w:ind w:firstLine="480"/>
      </w:pPr>
      <w:r>
        <w:rPr>
          <w:rFonts w:ascii="Times New Roman" w:hAnsi="Times New Roman" w:eastAsia="宋体"/>
          <w:b w:val="0"/>
          <w:i w:val="0"/>
          <w:sz w:val="24"/>
        </w:rPr>
        <w:t>回撤控制是组合保险的变体，保护对象从固定底线换成移动高水位线。文献与实务的共识是：它以牺牲部分平均收益为代价缩小回撤分母，因而应当用卡玛比率而非夏普比率评价；它在缓慢的熊市中表现优异，在 whipsaw 中伤害最大。高水位线只升不降，策略由此带上不对称性——每次创新高都抬高了下一次必须守住的门槛。</w:t>
      </w:r>
    </w:p>
    <w:p>
      <w:pPr>
        <w:spacing w:before="0" w:after="60" w:line="360" w:lineRule="auto"/>
        <w:ind w:firstLine="480"/>
      </w:pPr>
      <w:r>
        <w:rPr>
          <w:rFonts w:ascii="Times New Roman" w:hAnsi="Times New Roman" w:eastAsia="宋体"/>
          <w:b w:val="0"/>
          <w:i w:val="0"/>
          <w:sz w:val="24"/>
        </w:rPr>
        <w:t>本文关注的正是这一 whipsaw 成本如何与波动率目标相互作用。</w:t>
      </w:r>
    </w:p>
    <w:p>
      <w:pPr>
        <w:spacing w:before="240" w:after="100" w:line="360" w:lineRule="auto"/>
      </w:pPr>
      <w:r>
        <w:rPr>
          <w:rFonts w:ascii="Times New Roman" w:hAnsi="Times New Roman" w:eastAsia="黑体"/>
          <w:b/>
          <w:i w:val="0"/>
          <w:sz w:val="26"/>
        </w:rPr>
        <w:t>2.3 中国市场的趋势与动量：本土证据与本文的信号定位</w:t>
      </w:r>
    </w:p>
    <w:p>
      <w:pPr>
        <w:spacing w:before="0" w:after="60" w:line="360" w:lineRule="auto"/>
        <w:ind w:firstLine="480"/>
      </w:pPr>
      <w:r>
        <w:rPr>
          <w:rFonts w:ascii="Times New Roman" w:hAnsi="Times New Roman" w:eastAsia="宋体"/>
          <w:b w:val="0"/>
          <w:i w:val="0"/>
          <w:sz w:val="24"/>
        </w:rPr>
        <w:t>本文战术层使用两类信号：资产价格相对自身长期均线的位置（趋势状态），以及价格在其历史区间中的分位。二者在中国是否有效，是一个长期争议的本土议题：它决定本文的风险 overlay 究竟在"管理有价值的 alpha"，还是在"管理一串噪声"。进入理论模型之前，先厘清这一边界。</w:t>
      </w:r>
    </w:p>
    <w:p>
      <w:pPr>
        <w:spacing w:before="0" w:after="60" w:line="360" w:lineRule="auto"/>
        <w:ind w:firstLine="480"/>
      </w:pPr>
      <w:r>
        <w:rPr>
          <w:rFonts w:ascii="Times New Roman" w:hAnsi="Times New Roman" w:eastAsia="宋体"/>
          <w:b w:val="0"/>
          <w:i w:val="0"/>
          <w:sz w:val="24"/>
        </w:rPr>
        <w:t>横截面动量在中国基本不成立。最早的检验来自王永宏和赵学军（2001）：以深沪两市1993年以前上市的全部A股为样本，在1、3、6、9、12个月的形成期与持有期组合下，赢家与输家组合均未表现出收益惯性，反转策略显著而惯性策略不显著。刘博和皮天雷（2007）基于1994—2005年全样本得到一致结论：中国A股市场基本不存在惯性现象，而存在显著的反转现象，且风险补偿理论对这一结果具有相当的解释力。潘莉和徐建国（2011）进一步在个股回报率层面讨论了惯性与反转的共存条件。更系统的证据来自鲁臻和邹恒甫（2007），他们在 Hong and Stein（1999）模型基础上引入"政策市"特征，理论预测并经实证检验表明：中国股市反转效应强于惯性效应，除中期惯性与长期反转外还存在超短期惯性与短期反转，且小公司、高成交量股票的惯性更弱、更易发生反转。</w:t>
      </w:r>
    </w:p>
    <w:p>
      <w:pPr>
        <w:spacing w:before="0" w:after="60" w:line="360" w:lineRule="auto"/>
        <w:ind w:firstLine="480"/>
      </w:pPr>
      <w:r>
        <w:rPr>
          <w:rFonts w:ascii="Times New Roman" w:hAnsi="Times New Roman" w:eastAsia="宋体"/>
          <w:b w:val="0"/>
          <w:i w:val="0"/>
          <w:sz w:val="24"/>
        </w:rPr>
        <w:t>但动量并非完全不存在，问题出在频率上。迄今最精细的证据来自高秋明等（2014）：利用1994—2011年A股数据，月度频率上不存在显著的动量效应，但形成期2—4周、持有期1—3周时存在稳定的动量收益；规模、账面市值比和行业因素可解释约50%的动量收益；且动量效应在赢家与输家组合中具有不同的形成机理。这为长期争议提供了调和：不是中国市场没有趋势，而是月度及更低频的采样把趋势磨平了。</w:t>
      </w:r>
    </w:p>
    <w:p>
      <w:pPr>
        <w:spacing w:before="0" w:after="60" w:line="360" w:lineRule="auto"/>
        <w:ind w:firstLine="480"/>
      </w:pPr>
      <w:r>
        <w:rPr>
          <w:rFonts w:ascii="Times New Roman" w:hAnsi="Times New Roman" w:eastAsia="宋体"/>
          <w:b w:val="0"/>
          <w:i w:val="0"/>
          <w:sz w:val="24"/>
        </w:rPr>
        <w:t>个股动量在中国为何衰减，本土文献给出三条解释。交易制度是第一层约束：涨跌停与T+1使价格无法在单日内充分调整，动量信号被"锁"在涨跌停板上、次日集中释放，买入成本被动抬高。第二层来自投资者结构。赵学军和王永宏（2001）基于某大型营业部近万个投资者账户发现，中国投资者"售盈持亏"的处置效应比国外投资者更为严重；陆蓉等（2022）给出了更新的行为画像。其直接后果是盈利头寸被过早了结、亏损头寸被长期持有：前者打断上涨趋势，后者拖延下跌趋势，在个股层面同时削弱动量、强化反转。这与鲁臻和邹恒甫（2007）"反转强于惯性"的发现恰成微观基础与宏观表现的一对。第三层是高换手与短持有期，噪声交易占比高，低频采样下信号已被交易噪声淹没。</w:t>
      </w:r>
    </w:p>
    <w:p>
      <w:pPr>
        <w:spacing w:before="0" w:after="60" w:line="360" w:lineRule="auto"/>
        <w:ind w:firstLine="480"/>
      </w:pPr>
      <w:r>
        <w:rPr>
          <w:rFonts w:ascii="Times New Roman" w:hAnsi="Times New Roman" w:eastAsia="宋体"/>
          <w:b w:val="0"/>
          <w:i w:val="0"/>
          <w:sz w:val="24"/>
        </w:rPr>
        <w:t>上述证据对本文有三重含义。</w:t>
      </w:r>
    </w:p>
    <w:p>
      <w:pPr>
        <w:spacing w:before="0" w:after="60" w:line="360" w:lineRule="auto"/>
        <w:ind w:firstLine="480"/>
      </w:pPr>
      <w:r>
        <w:rPr>
          <w:rFonts w:ascii="Times New Roman" w:hAnsi="Times New Roman" w:eastAsia="宋体"/>
          <w:b w:val="0"/>
          <w:i w:val="0"/>
          <w:sz w:val="24"/>
        </w:rPr>
        <w:t>第一，本文不使用横截面动量。月度横截面动量在中国已被反复证明不显著，因此战术层只采用时间序列上的趋势状态与价格分位，不做个股或资产的横截面排序——这是对本土证据的回应，而非对海外文献的简单移植。</w:t>
      </w:r>
    </w:p>
    <w:p>
      <w:pPr>
        <w:spacing w:before="0" w:after="60" w:line="360" w:lineRule="auto"/>
        <w:ind w:firstLine="480"/>
      </w:pPr>
      <w:r>
        <w:rPr>
          <w:rFonts w:ascii="Times New Roman" w:hAnsi="Times New Roman" w:eastAsia="宋体"/>
          <w:b w:val="0"/>
          <w:i w:val="0"/>
          <w:sz w:val="24"/>
        </w:rPr>
        <w:t>这里还存在一处频率错配：高秋明等（2014）所识别的稳定动量位于"2—4周形成期 / 1—3周持有期"，而本文的趋势信号为200日均线（有效形成期约10个月）、调仓频率为月度，两者不在同一频段上。本土动量证据并不直接支持本文趋势信号的有效性，只支持"应回避横截面动量"这一消极结论。也正因如此，本文将趋势信号的有效性设为可证伪环节：第6.6节关闭全部战术信号后重跑，前沿分岔依然存在（末端衰减1.12pp）。</w:t>
      </w:r>
    </w:p>
    <w:p>
      <w:pPr>
        <w:spacing w:before="0" w:after="60" w:line="360" w:lineRule="auto"/>
        <w:ind w:firstLine="480"/>
      </w:pPr>
      <w:r>
        <w:rPr>
          <w:rFonts w:ascii="Times New Roman" w:hAnsi="Times New Roman" w:eastAsia="宋体"/>
          <w:b w:val="0"/>
          <w:i w:val="0"/>
          <w:sz w:val="24"/>
        </w:rPr>
        <w:t>第二，弱信号环境恰恰放大了本文所研究的问题。第5.1节显示，敞口实现率随目标波动上升从0.821降至0.461：按比例削减敞口等于按同一比例削减收益来源，却只能换来次比例的波动下降，当信号的夏普比率本就不高时尤其吃亏。趋势信号在中国是弱信号，而中国恰是典型的弱信号市场，也正是"双重去杠杆陷阱"危害最大的环境。</w:t>
      </w:r>
    </w:p>
    <w:p>
      <w:pPr>
        <w:spacing w:before="0" w:after="60" w:line="360" w:lineRule="auto"/>
        <w:ind w:firstLine="480"/>
      </w:pPr>
      <w:r>
        <w:rPr>
          <w:rFonts w:ascii="Times New Roman" w:hAnsi="Times New Roman" w:eastAsia="宋体"/>
          <w:b w:val="0"/>
          <w:i w:val="0"/>
          <w:sz w:val="24"/>
        </w:rPr>
        <w:t>第三，处置效应与回撤控制之间存在方向相反的隐性叠加。散户"售盈持亏"本身就是一种非正式的顺周期去杠杆：上涨时减仓，下跌时维持。规则型回撤控制则在下跌时强制减仓。受 Ē=1 约束且启用回撤控制的管理人，在上涨与下跌两端都被削减敞口，形成"两头受挤"。本土投资者结构由此放大而非缓解这一机制。</w:t>
      </w:r>
    </w:p>
    <w:p>
      <w:pPr>
        <w:spacing w:before="0" w:after="60" w:line="360" w:lineRule="auto"/>
        <w:ind w:firstLine="480"/>
      </w:pPr>
      <w:r>
        <w:rPr>
          <w:rFonts w:ascii="Times New Roman" w:hAnsi="Times New Roman" w:eastAsia="宋体"/>
          <w:b w:val="0"/>
          <w:i w:val="0"/>
          <w:sz w:val="24"/>
        </w:rPr>
        <w:t>还需限定证据的适用层级。本土动量证据主要针对个股横截面，本文资产池则为跨市场指数与ETF（A股红利、沪深300、中证500、港股、纳斯达克100、黄金），其时间序列趋势由宏观周期、资金面与跨市场估值差异驱动，与个股层面的处置效应机制并不相同。本土证据支持本文审慎设定战术信号的立场，但核心结论，即两层风控的负交互，并不依赖战术信号的有效性：第6.6节关闭全部战术信号后，前沿分岔依然存在。</w:t>
      </w:r>
    </w:p>
    <w:p>
      <w:pPr>
        <w:spacing w:before="240" w:after="100" w:line="360" w:lineRule="auto"/>
      </w:pPr>
      <w:r>
        <w:rPr>
          <w:rFonts w:ascii="Times New Roman" w:hAnsi="Times New Roman" w:eastAsia="黑体"/>
          <w:b/>
          <w:i w:val="0"/>
          <w:sz w:val="26"/>
        </w:rPr>
        <w:t>2.4 理论模型</w:t>
      </w:r>
    </w:p>
    <w:p>
      <w:pPr>
        <w:spacing w:before="180" w:after="80" w:line="360" w:lineRule="auto"/>
      </w:pPr>
      <w:r>
        <w:rPr>
          <w:rFonts w:ascii="Times New Roman" w:hAnsi="Times New Roman" w:eastAsia="黑体"/>
          <w:b/>
          <w:i w:val="0"/>
          <w:sz w:val="24"/>
        </w:rPr>
        <w:t>2.4.1 基本设定</w:t>
      </w:r>
    </w:p>
    <w:p>
      <w:pPr>
        <w:spacing w:before="0" w:after="60" w:line="360" w:lineRule="auto"/>
        <w:ind w:firstLine="480"/>
      </w:pPr>
      <w:r>
        <w:rPr>
          <w:rFonts w:ascii="Times New Roman" w:hAnsi="Times New Roman" w:eastAsia="宋体"/>
          <w:b w:val="0"/>
          <w:i w:val="0"/>
          <w:sz w:val="24"/>
        </w:rPr>
        <w:t>考虑一个离散时间框架。风险资产在 t 期的超额收益为：</w:t>
      </w:r>
    </w:p>
    <w:p>
      <w:pPr>
        <w:spacing w:before="160" w:after="160" w:line="240" w:lineRule="auto"/>
        <w:jc w:val="center"/>
      </w:pPr>
      <m:oMathPara>
        <m:box>
          <m:e>
            <m:sSub>
              <m:e>
                <m:r>
                  <m:rPr>
                    <m:sty m:val="i"/>
                  </m:rPr>
                  <m:t>r</m:t>
                </m:r>
              </m:e>
              <m:sub>
                <m:box>
                  <m:e>
                    <m:r>
                      <m:rPr>
                        <m:sty m:val="i"/>
                      </m:rPr>
                      <m:t>t</m:t>
                    </m:r>
                    <m:r>
                      <m:rPr>
                        <m:sty m:val="p"/>
                      </m:rPr>
                      <m:t>+</m:t>
                    </m:r>
                    <m:r>
                      <m:rPr>
                        <m:sty m:val="p"/>
                      </m:rPr>
                      <m:t>1</m:t>
                    </m:r>
                  </m:e>
                </m:box>
              </m:sub>
            </m:sSub>
            <m:r>
              <m:rPr>
                <m:sty m:val="p"/>
              </m:rPr>
              <m:t>=</m:t>
            </m:r>
            <m:sSub>
              <m:e>
                <m:r>
                  <m:rPr>
                    <m:sty m:val="i"/>
                  </m:rPr>
                  <m:t>μ</m:t>
                </m:r>
              </m:e>
              <m:sub>
                <m:r>
                  <m:rPr>
                    <m:sty m:val="i"/>
                  </m:rPr>
                  <m:t>t</m:t>
                </m:r>
              </m:sub>
            </m:sSub>
            <m:r>
              <m:rPr>
                <m:sty m:val="p"/>
              </m:rPr>
              <m:t>·</m:t>
            </m:r>
            <m:r>
              <m:rPr>
                <m:sty m:val="i"/>
              </m:rPr>
              <m:t>Δ</m:t>
            </m:r>
            <m:r>
              <m:rPr>
                <m:sty m:val="i"/>
              </m:rPr>
              <m:t>t</m:t>
            </m:r>
            <m:r>
              <m:rPr>
                <m:sty m:val="p"/>
              </m:rPr>
              <m:t>+</m:t>
            </m:r>
            <m:sSub>
              <m:e>
                <m:r>
                  <m:rPr>
                    <m:sty m:val="i"/>
                  </m:rPr>
                  <m:t>σ</m:t>
                </m:r>
              </m:e>
              <m:sub>
                <m:r>
                  <m:rPr>
                    <m:sty m:val="i"/>
                  </m:rPr>
                  <m:t>t</m:t>
                </m:r>
              </m:sub>
            </m:sSub>
            <m:rad>
              <m:e>
                <m:box>
                  <m:e>
                    <m:box>
                      <m:e>
                        <m:r>
                          <m:rPr>
                            <m:sty m:val="i"/>
                          </m:rPr>
                          <m:t>Δ</m:t>
                        </m:r>
                        <m:r>
                          <m:rPr>
                            <m:sty m:val="i"/>
                          </m:rPr>
                          <m:t>t</m:t>
                        </m:r>
                      </m:e>
                    </m:box>
                  </m:e>
                </m:box>
              </m:e>
            </m:rad>
            <m:r>
              <m:rPr>
                <m:sty m:val="p"/>
              </m:rPr>
              <m:t>·</m:t>
            </m:r>
            <m:sSub>
              <m:e>
                <m:r>
                  <m:rPr>
                    <m:sty m:val="i"/>
                  </m:rPr>
                  <m:t>ε</m:t>
                </m:r>
              </m:e>
              <m:sub>
                <m:box>
                  <m:e>
                    <m:r>
                      <m:rPr>
                        <m:sty m:val="i"/>
                      </m:rPr>
                      <m:t>t</m:t>
                    </m:r>
                    <m:r>
                      <m:rPr>
                        <m:sty m:val="p"/>
                      </m:rPr>
                      <m:t>+</m:t>
                    </m:r>
                    <m:r>
                      <m:rPr>
                        <m:sty m:val="p"/>
                      </m:rPr>
                      <m:t>1</m:t>
                    </m:r>
                  </m:e>
                </m:box>
              </m:sub>
            </m:sSub>
            <m:r>
              <m:rPr>
                <m:sty m:val="p"/>
              </m:rPr>
              <m:t>,</m:t>
            </m:r>
            <m:r>
              <m:t/>
            </m:r>
            <m:sSub>
              <m:e>
                <m:r>
                  <m:rPr>
                    <m:sty m:val="i"/>
                  </m:rPr>
                  <m:t>ε</m:t>
                </m:r>
              </m:e>
              <m:sub>
                <m:box>
                  <m:e>
                    <m:r>
                      <m:rPr>
                        <m:sty m:val="i"/>
                      </m:rPr>
                      <m:t>t</m:t>
                    </m:r>
                    <m:r>
                      <m:rPr>
                        <m:sty m:val="p"/>
                      </m:rPr>
                      <m:t>+</m:t>
                    </m:r>
                    <m:r>
                      <m:rPr>
                        <m:sty m:val="p"/>
                      </m:rPr>
                      <m:t>1</m:t>
                    </m:r>
                  </m:e>
                </m:box>
              </m:sub>
            </m:sSub>
            <m:r>
              <m:rPr>
                <m:sty m:val="i"/>
              </m:rPr>
              <m:t>~</m:t>
            </m:r>
            <m:r>
              <m:rPr>
                <m:sty m:val="i"/>
              </m:rPr>
              <m:t>i</m:t>
            </m:r>
            <m:r>
              <m:rPr>
                <m:sty m:val="p"/>
              </m:rPr>
              <m:t>.</m:t>
            </m:r>
            <m:r>
              <m:rPr>
                <m:sty m:val="i"/>
              </m:rPr>
              <m:t>i</m:t>
            </m:r>
            <m:r>
              <m:rPr>
                <m:sty m:val="p"/>
              </m:rPr>
              <m:t>.</m:t>
            </m:r>
            <m:r>
              <m:rPr>
                <m:sty m:val="i"/>
              </m:rPr>
              <m:t>d</m:t>
            </m:r>
            <m:r>
              <m:rPr>
                <m:sty m:val="p"/>
              </m:rPr>
              <m:t>.</m:t>
            </m:r>
            <m:r>
              <m:t/>
            </m:r>
            <m:r>
              <m:rPr>
                <m:sty m:val="i"/>
              </m:rPr>
              <m:t>N</m:t>
            </m:r>
            <m:r>
              <m:rPr>
                <m:sty m:val="p"/>
              </m:rPr>
              <m:t>(</m:t>
            </m:r>
            <m:r>
              <m:rPr>
                <m:sty m:val="p"/>
              </m:rPr>
              <m:t>0</m:t>
            </m:r>
            <m:r>
              <m:rPr>
                <m:sty m:val="p"/>
              </m:rPr>
              <m:t>,</m:t>
            </m:r>
            <m:r>
              <m:rPr>
                <m:sty m:val="p"/>
              </m:rPr>
              <m:t>1</m:t>
            </m:r>
            <m:r>
              <m:rPr>
                <m:sty m:val="p"/>
              </m:rPr>
              <m:t>)</m:t>
            </m:r>
          </m:e>
        </m:box>
      </m:oMathPara>
    </w:p>
    <w:p>
      <w:pPr>
        <w:spacing w:before="0" w:after="60" w:line="360" w:lineRule="auto"/>
        <w:ind w:firstLine="480"/>
      </w:pPr>
      <w:r>
        <w:rPr>
          <w:rFonts w:ascii="Times New Roman" w:hAnsi="Times New Roman" w:eastAsia="宋体"/>
          <w:b w:val="0"/>
          <w:i w:val="0"/>
          <w:sz w:val="24"/>
        </w:rPr>
        <w:t>其中条件波动率 σ_t 具有聚集性（本文以两状态马尔可夫链刻画），条件期望收益 μ_t 与 σ_t 正相关但夏普比率随 σ_t 上升而下降：</w:t>
      </w:r>
    </w:p>
    <w:p>
      <w:pPr>
        <w:spacing w:before="160" w:after="160" w:line="240" w:lineRule="auto"/>
        <w:jc w:val="center"/>
      </w:pPr>
      <m:oMathPara>
        <m:box>
          <m:e>
            <m:r>
              <m:rPr>
                <m:sty m:val="i"/>
              </m:rPr>
              <m:t>S</m:t>
            </m:r>
            <m:sSub>
              <m:e>
                <m:r>
                  <m:rPr>
                    <m:sty m:val="i"/>
                  </m:rPr>
                  <m:t>R</m:t>
                </m:r>
              </m:e>
              <m:sub>
                <m:r>
                  <m:rPr>
                    <m:sty m:val="i"/>
                  </m:rPr>
                  <m:t>t</m:t>
                </m:r>
              </m:sub>
            </m:sSub>
            <m:r>
              <m:rPr>
                <m:sty m:val="p"/>
              </m:rPr>
              <m:t>=</m:t>
            </m:r>
            <m:limUpp>
              <m:e>
                <m:box>
                  <m:e>
                    <m:r>
                      <m:rPr>
                        <m:sty m:val="i"/>
                      </m:rPr>
                      <m:t>S</m:t>
                    </m:r>
                    <m:r>
                      <m:rPr>
                        <m:sty m:val="i"/>
                      </m:rPr>
                      <m:t>R</m:t>
                    </m:r>
                  </m:e>
                </m:box>
              </m:e>
              <m:lim>
                <m:r>
                  <m:rPr>
                    <m:sty m:val="p"/>
                  </m:rPr>
                  <m:t>―</m:t>
                </m:r>
              </m:lim>
            </m:limUpp>
            <m:r>
              <m:rPr>
                <m:sty m:val="p"/>
              </m:rPr>
              <m:t>−</m:t>
            </m:r>
            <m:r>
              <m:rPr>
                <m:sty m:val="i"/>
              </m:rPr>
              <m:t>β</m:t>
            </m:r>
            <m:r>
              <m:rPr>
                <m:sty m:val="p"/>
              </m:rPr>
              <m:t>(</m:t>
            </m:r>
            <m:sSub>
              <m:e>
                <m:r>
                  <m:rPr>
                    <m:sty m:val="i"/>
                  </m:rPr>
                  <m:t>σ</m:t>
                </m:r>
              </m:e>
              <m:sub>
                <m:r>
                  <m:rPr>
                    <m:sty m:val="i"/>
                  </m:rPr>
                  <m:t>t</m:t>
                </m:r>
              </m:sub>
            </m:sSub>
            <m:r>
              <m:rPr>
                <m:sty m:val="p"/>
              </m:rPr>
              <m:t>−</m:t>
            </m:r>
            <m:groupChr>
              <m:groupChrPr>
                <m:chr m:val="¯"/>
                <m:pos m:val="top"/>
              </m:groupChrPr>
              <m:e>
                <m:box>
                  <m:e>
                    <m:r>
                      <m:rPr>
                        <m:sty m:val="i"/>
                      </m:rPr>
                      <m:t>σ</m:t>
                    </m:r>
                  </m:e>
                </m:box>
              </m:e>
            </m:groupChr>
            <m:r>
              <m:rPr>
                <m:sty m:val="p"/>
              </m:rPr>
              <m:t>)</m:t>
            </m:r>
            <m:r>
              <m:rPr>
                <m:sty m:val="p"/>
              </m:rPr>
              <m:t>,</m:t>
            </m:r>
            <m:r>
              <m:t/>
            </m:r>
            <m:sSub>
              <m:e>
                <m:r>
                  <m:rPr>
                    <m:sty m:val="i"/>
                  </m:rPr>
                  <m:t>μ</m:t>
                </m:r>
              </m:e>
              <m:sub>
                <m:r>
                  <m:rPr>
                    <m:sty m:val="i"/>
                  </m:rPr>
                  <m:t>t</m:t>
                </m:r>
              </m:sub>
            </m:sSub>
            <m:r>
              <m:rPr>
                <m:sty m:val="p"/>
              </m:rPr>
              <m:t>=</m:t>
            </m:r>
            <m:r>
              <m:rPr>
                <m:sty m:val="i"/>
              </m:rPr>
              <m:t>S</m:t>
            </m:r>
            <m:sSub>
              <m:e>
                <m:r>
                  <m:rPr>
                    <m:sty m:val="i"/>
                  </m:rPr>
                  <m:t>R</m:t>
                </m:r>
              </m:e>
              <m:sub>
                <m:r>
                  <m:rPr>
                    <m:sty m:val="i"/>
                  </m:rPr>
                  <m:t>t</m:t>
                </m:r>
              </m:sub>
            </m:sSub>
            <m:r>
              <m:rPr>
                <m:sty m:val="p"/>
              </m:rPr>
              <m:t>·</m:t>
            </m:r>
            <m:sSub>
              <m:e>
                <m:r>
                  <m:rPr>
                    <m:sty m:val="i"/>
                  </m:rPr>
                  <m:t>σ</m:t>
                </m:r>
              </m:e>
              <m:sub>
                <m:r>
                  <m:rPr>
                    <m:sty m:val="i"/>
                  </m:rPr>
                  <m:t>t</m:t>
                </m:r>
              </m:sub>
            </m:sSub>
            <m:r>
              <m:rPr>
                <m:sty m:val="p"/>
              </m:rPr>
              <m:t>,</m:t>
            </m:r>
            <m:r>
              <m:t/>
            </m:r>
            <m:r>
              <m:rPr>
                <m:sty m:val="i"/>
              </m:rPr>
              <m:t>β</m:t>
            </m:r>
            <m:r>
              <m:rPr>
                <m:sty m:val="p"/>
              </m:rPr>
              <m:t>&gt;</m:t>
            </m:r>
            <m:r>
              <m:rPr>
                <m:sty m:val="p"/>
              </m:rPr>
              <m:t>0</m:t>
            </m:r>
          </m:e>
        </m:box>
      </m:oMathPara>
    </w:p>
    <w:p>
      <w:pPr>
        <w:spacing w:before="0" w:after="60" w:line="360" w:lineRule="auto"/>
        <w:ind w:firstLine="480"/>
      </w:pPr>
      <w:r>
        <w:rPr>
          <w:rFonts w:ascii="Times New Roman" w:hAnsi="Times New Roman" w:eastAsia="宋体"/>
          <w:b w:val="0"/>
          <w:i w:val="0"/>
          <w:sz w:val="24"/>
        </w:rPr>
        <w:t>这一设定既有理论基础（风险-收益权衡），也符合经验事实：高波动期往往预示更高的绝对收益，但风险调整后的收益更差。</w:t>
      </w:r>
    </w:p>
    <w:p>
      <w:pPr>
        <w:spacing w:before="0" w:after="60" w:line="360" w:lineRule="auto"/>
        <w:ind w:firstLine="480"/>
      </w:pPr>
      <w:r>
        <w:rPr>
          <w:rFonts w:ascii="Times New Roman" w:hAnsi="Times New Roman" w:eastAsia="宋体"/>
          <w:b w:val="0"/>
          <w:i w:val="0"/>
          <w:sz w:val="24"/>
        </w:rPr>
        <w:t>投资者在 t 期选择风险敞口 e_t ∈ [0, Ē]，其中 Ē 为杠杆上限（零售投资者 Ē=1）。组合收益为 e_t · r_t，其余配置于无风险资产。</w:t>
      </w:r>
    </w:p>
    <w:p>
      <w:pPr>
        <w:spacing w:before="180" w:after="80" w:line="360" w:lineRule="auto"/>
      </w:pPr>
      <w:r>
        <w:rPr>
          <w:rFonts w:ascii="Times New Roman" w:hAnsi="Times New Roman" w:eastAsia="黑体"/>
          <w:b/>
          <w:i w:val="0"/>
          <w:sz w:val="24"/>
        </w:rPr>
        <w:t>2.4.2 两层风控</w:t>
      </w:r>
    </w:p>
    <w:p>
      <w:pPr>
        <w:spacing w:before="0" w:after="60" w:line="360" w:lineRule="auto"/>
        <w:ind w:firstLine="480"/>
      </w:pPr>
      <w:r>
        <w:rPr>
          <w:rFonts w:ascii="Times New Roman" w:hAnsi="Times New Roman" w:eastAsia="宋体"/>
          <w:b/>
          <w:i w:val="0"/>
          <w:sz w:val="24"/>
        </w:rPr>
        <w:t>第一层：波动率目标。</w:t>
      </w:r>
      <w:r>
        <w:rPr>
          <w:rFonts w:ascii="Times New Roman" w:hAnsi="Times New Roman" w:eastAsia="宋体"/>
          <w:b w:val="0"/>
          <w:i w:val="0"/>
          <w:sz w:val="24"/>
        </w:rPr>
        <w:t xml:space="preserve"> 投资者以已实现波动的 EWMA 估计 σ̂_t 为基础，将敞口设定为：</w:t>
      </w:r>
    </w:p>
    <w:p>
      <w:pPr>
        <w:spacing w:before="160" w:after="160" w:line="240" w:lineRule="auto"/>
        <w:jc w:val="center"/>
      </w:pPr>
      <m:oMathPara>
        <m:box>
          <m:e>
            <m:sSubSup>
              <m:e>
                <m:r>
                  <m:rPr>
                    <m:sty m:val="i"/>
                  </m:rPr>
                  <m:t>e</m:t>
                </m:r>
              </m:e>
              <m:sub>
                <m:r>
                  <m:rPr>
                    <m:sty m:val="i"/>
                  </m:rPr>
                  <m:t>t</m:t>
                </m:r>
              </m:sub>
              <m:sup>
                <m:r>
                  <m:rPr>
                    <m:sty m:val="i"/>
                  </m:rPr>
                  <m:t>V</m:t>
                </m:r>
              </m:sup>
            </m:sSubSup>
            <m:r>
              <m:rPr>
                <m:sty m:val="p"/>
              </m:rPr>
              <m:t>=</m:t>
            </m:r>
            <m:r>
              <m:rPr>
                <m:sty m:val="p"/>
              </m:rPr>
              <m:t>min</m:t>
            </m:r>
            <m:box>
              <m:e>
                <m:d>
                  <m:dPr>
                    <m:begChr m:val="("/>
                    <m:endChr m:val=")"/>
                  </m:dPr>
                  <m:e>
                    <m:box>
                      <m:e>
                        <m:f>
                          <m:num>
                            <m:box>
                              <m:e>
                                <m:sSup>
                                  <m:e>
                                    <m:r>
                                      <m:rPr>
                                        <m:sty m:val="i"/>
                                      </m:rPr>
                                      <m:t>σ</m:t>
                                    </m:r>
                                  </m:e>
                                  <m:sup>
                                    <m:r>
                                      <m:rPr>
                                        <m:sty m:val="p"/>
                                      </m:rPr>
                                      <m:t>*</m:t>
                                    </m:r>
                                  </m:sup>
                                </m:sSup>
                              </m:e>
                            </m:box>
                          </m:num>
                          <m:den>
                            <m:box>
                              <m:e>
                                <m:sSub>
                                  <m:e>
                                    <m:limUpp>
                                      <m:e>
                                        <m:box>
                                          <m:e>
                                            <m:r>
                                              <m:rPr>
                                                <m:sty m:val="i"/>
                                              </m:rPr>
                                              <m:t>σ</m:t>
                                            </m:r>
                                          </m:e>
                                        </m:box>
                                      </m:e>
                                      <m:lim>
                                        <m:r>
                                          <m:rPr>
                                            <m:sty m:val="p"/>
                                          </m:rPr>
                                          <m:t>^</m:t>
                                        </m:r>
                                      </m:lim>
                                    </m:limUpp>
                                  </m:e>
                                  <m:sub>
                                    <m:r>
                                      <m:rPr>
                                        <m:sty m:val="i"/>
                                      </m:rPr>
                                      <m:t>t</m:t>
                                    </m:r>
                                  </m:sub>
                                </m:sSub>
                              </m:e>
                            </m:box>
                          </m:den>
                        </m:f>
                        <m:r>
                          <m:rPr>
                            <m:sty m:val="p"/>
                          </m:rPr>
                          <m:t>,</m:t>
                        </m:r>
                        <m:r>
                          <m:t/>
                        </m:r>
                        <m:groupChr>
                          <m:groupChrPr>
                            <m:chr m:val="¯"/>
                            <m:pos m:val="top"/>
                          </m:groupChrPr>
                          <m:e>
                            <m:box>
                              <m:e>
                                <m:r>
                                  <m:rPr>
                                    <m:sty m:val="i"/>
                                  </m:rPr>
                                  <m:t>E</m:t>
                                </m:r>
                              </m:e>
                            </m:box>
                          </m:e>
                        </m:groupChr>
                      </m:e>
                    </m:box>
                  </m:e>
                </m:d>
              </m:e>
            </m:box>
            <m:r>
              <m:rPr>
                <m:sty m:val="p"/>
              </m:rPr>
              <m:t>·</m:t>
            </m:r>
            <m:sSub>
              <m:e>
                <m:r>
                  <m:rPr>
                    <m:sty m:val="i"/>
                  </m:rPr>
                  <m:t>s</m:t>
                </m:r>
              </m:e>
              <m:sub>
                <m:r>
                  <m:rPr>
                    <m:sty m:val="i"/>
                  </m:rPr>
                  <m:t>t</m:t>
                </m:r>
              </m:sub>
            </m:sSub>
          </m:e>
        </m:box>
      </m:oMathPara>
    </w:p>
    <w:p>
      <w:pPr>
        <w:spacing w:before="0" w:after="60" w:line="360" w:lineRule="auto"/>
        <w:ind w:firstLine="480"/>
      </w:pPr>
      <w:r>
        <w:rPr>
          <w:rFonts w:ascii="Times New Roman" w:hAnsi="Times New Roman" w:eastAsia="宋体"/>
          <w:b w:val="0"/>
          <w:i w:val="0"/>
          <w:sz w:val="24"/>
        </w:rPr>
        <w:t>其中 σ* 为目标波动，s_t ∈ {0,1} 为趋势信号（资产在自身均线上方时取1）。</w:t>
      </w:r>
    </w:p>
    <w:p>
      <w:pPr>
        <w:spacing w:before="0" w:after="60" w:line="360" w:lineRule="auto"/>
        <w:ind w:firstLine="480"/>
      </w:pPr>
      <w:r>
        <w:rPr>
          <w:rFonts w:ascii="Times New Roman" w:hAnsi="Times New Roman" w:eastAsia="宋体"/>
          <w:b/>
          <w:i w:val="0"/>
          <w:sz w:val="24"/>
        </w:rPr>
        <w:t>第二层：回撤控制。</w:t>
      </w:r>
      <w:r>
        <w:rPr>
          <w:rFonts w:ascii="Times New Roman" w:hAnsi="Times New Roman" w:eastAsia="宋体"/>
          <w:b w:val="0"/>
          <w:i w:val="0"/>
          <w:sz w:val="24"/>
        </w:rPr>
        <w:t xml:space="preserve"> 定义水下深度 D_t = V_t / max_{s≤t} V_s − 1。回撤控制以乘性方式削减敞口：</w:t>
      </w:r>
    </w:p>
    <w:p>
      <w:pPr>
        <w:spacing w:before="160" w:after="160" w:line="240" w:lineRule="auto"/>
        <w:jc w:val="center"/>
      </w:pPr>
      <m:oMathPara>
        <m:box>
          <m:e>
            <m:sSub>
              <m:e>
                <m:r>
                  <m:rPr>
                    <m:sty m:val="i"/>
                  </m:rPr>
                  <m:t>ϕ</m:t>
                </m:r>
              </m:e>
              <m:sub>
                <m:r>
                  <m:rPr>
                    <m:sty m:val="i"/>
                  </m:rPr>
                  <m:t>t</m:t>
                </m:r>
              </m:sub>
            </m:sSub>
            <m:r>
              <m:rPr>
                <m:sty m:val="p"/>
              </m:rPr>
              <m:t>=</m:t>
            </m:r>
            <m:r>
              <m:rPr>
                <m:sty m:val="i"/>
              </m:rPr>
              <m:t>ϕ</m:t>
            </m:r>
            <m:r>
              <m:rPr>
                <m:sty m:val="p"/>
              </m:rPr>
              <m:t>(</m:t>
            </m:r>
            <m:sSub>
              <m:e>
                <m:r>
                  <m:rPr>
                    <m:sty m:val="i"/>
                  </m:rPr>
                  <m:t>D</m:t>
                </m:r>
              </m:e>
              <m:sub>
                <m:r>
                  <m:rPr>
                    <m:sty m:val="i"/>
                  </m:rPr>
                  <m:t>t</m:t>
                </m:r>
              </m:sub>
            </m:sSub>
            <m:r>
              <m:rPr>
                <m:sty m:val="p"/>
              </m:rPr>
              <m:t>)</m:t>
            </m:r>
            <m:r>
              <m:rPr>
                <m:sty m:val="p"/>
              </m:rPr>
              <m:t>∈</m:t>
            </m:r>
            <m:r>
              <m:rPr>
                <m:sty m:val="p"/>
              </m:rPr>
              <m:t>[</m:t>
            </m:r>
            <m:sSub>
              <m:e>
                <m:r>
                  <m:rPr>
                    <m:sty m:val="i"/>
                  </m:rPr>
                  <m:t>ϕ</m:t>
                </m:r>
              </m:e>
              <m:sub>
                <m:box>
                  <m:e>
                    <m:r>
                      <m:rPr>
                        <m:sty m:val="i"/>
                      </m:rPr>
                      <m:t>m</m:t>
                    </m:r>
                    <m:r>
                      <m:rPr>
                        <m:sty m:val="i"/>
                      </m:rPr>
                      <m:t>i</m:t>
                    </m:r>
                    <m:r>
                      <m:rPr>
                        <m:sty m:val="i"/>
                      </m:rPr>
                      <m:t>n</m:t>
                    </m:r>
                  </m:e>
                </m:box>
              </m:sub>
            </m:sSub>
            <m:r>
              <m:rPr>
                <m:sty m:val="p"/>
              </m:rPr>
              <m:t>,</m:t>
            </m:r>
            <m:r>
              <m:rPr>
                <m:sty m:val="p"/>
              </m:rPr>
              <m:t>1</m:t>
            </m:r>
            <m:r>
              <m:rPr>
                <m:sty m:val="p"/>
              </m:rPr>
              <m:t>]</m:t>
            </m:r>
            <m:r>
              <m:rPr>
                <m:sty m:val="p"/>
              </m:rPr>
              <m:t>,</m:t>
            </m:r>
            <m:r>
              <m:t/>
            </m:r>
            <m:r>
              <m:rPr>
                <m:sty m:val="i"/>
              </m:rPr>
              <m:t>ϕ</m:t>
            </m:r>
            <m:r>
              <m:rPr>
                <m:sty m:val="p"/>
              </m:rPr>
              <m:t>(</m:t>
            </m:r>
            <m:r>
              <m:rPr>
                <m:sty m:val="p"/>
              </m:rPr>
              <m:t>0</m:t>
            </m:r>
            <m:r>
              <m:rPr>
                <m:sty m:val="p"/>
              </m:rPr>
              <m:t>)</m:t>
            </m:r>
            <m:r>
              <m:rPr>
                <m:sty m:val="p"/>
              </m:rPr>
              <m:t>=</m:t>
            </m:r>
            <m:r>
              <m:rPr>
                <m:sty m:val="p"/>
              </m:rPr>
              <m:t>1</m:t>
            </m:r>
            <m:r>
              <m:rPr>
                <m:sty m:val="p"/>
              </m:rPr>
              <m:t>,</m:t>
            </m:r>
            <m:r>
              <m:rPr>
                <m:nor/>
              </m:rPr>
              <m:t> </m:t>
            </m:r>
            <m:sSup>
              <m:e>
                <m:r>
                  <m:rPr>
                    <m:sty m:val="i"/>
                  </m:rPr>
                  <m:t>ϕ</m:t>
                </m:r>
              </m:e>
              <m:sup>
                <m:r>
                  <m:rPr>
                    <m:sty m:val="i"/>
                  </m:rPr>
                  <m:t>′</m:t>
                </m:r>
              </m:sup>
            </m:sSup>
            <m:r>
              <m:rPr>
                <m:sty m:val="p"/>
              </m:rPr>
              <m:t>(</m:t>
            </m:r>
            <m:r>
              <m:rPr>
                <m:sty m:val="p"/>
              </m:rPr>
              <m:t>·</m:t>
            </m:r>
            <m:r>
              <m:rPr>
                <m:sty m:val="p"/>
              </m:rPr>
              <m:t>)</m:t>
            </m:r>
            <m:r>
              <m:rPr>
                <m:sty m:val="p"/>
              </m:rPr>
              <m:t>&lt;</m:t>
            </m:r>
            <m:r>
              <m:rPr>
                <m:sty m:val="p"/>
              </m:rPr>
              <m:t>0</m:t>
            </m:r>
          </m:e>
        </m:box>
      </m:oMathPara>
    </w:p>
    <w:p>
      <w:pPr>
        <w:spacing w:before="0" w:after="60" w:line="360" w:lineRule="auto"/>
        <w:ind w:firstLine="480"/>
      </w:pPr>
      <w:r>
        <w:rPr>
          <w:rFonts w:ascii="Times New Roman" w:hAnsi="Times New Roman" w:eastAsia="宋体"/>
          <w:b/>
          <w:i w:val="0"/>
          <w:sz w:val="24"/>
        </w:rPr>
        <w:t>有效敞口</w:t>
      </w:r>
      <w:r>
        <w:rPr>
          <w:rFonts w:ascii="Times New Roman" w:hAnsi="Times New Roman" w:eastAsia="宋体"/>
          <w:b w:val="0"/>
          <w:i w:val="0"/>
          <w:sz w:val="24"/>
        </w:rPr>
        <w:t>。两层相互独立地作用，最终持仓为二者之积：</w:t>
      </w:r>
    </w:p>
    <w:p>
      <w:pPr>
        <w:spacing w:before="160" w:after="160" w:line="240" w:lineRule="auto"/>
        <w:jc w:val="center"/>
      </w:pPr>
      <m:oMathPara>
        <m:box>
          <m:e>
            <m:sSub>
              <m:e>
                <m:r>
                  <m:rPr>
                    <m:sty m:val="i"/>
                  </m:rPr>
                  <m:t>e</m:t>
                </m:r>
              </m:e>
              <m:sub>
                <m:r>
                  <m:rPr>
                    <m:sty m:val="i"/>
                  </m:rPr>
                  <m:t>t</m:t>
                </m:r>
              </m:sub>
            </m:sSub>
            <m:r>
              <m:rPr>
                <m:sty m:val="p"/>
              </m:rPr>
              <m:t>=</m:t>
            </m:r>
            <m:sSubSup>
              <m:e>
                <m:r>
                  <m:rPr>
                    <m:sty m:val="i"/>
                  </m:rPr>
                  <m:t>e</m:t>
                </m:r>
              </m:e>
              <m:sub>
                <m:r>
                  <m:rPr>
                    <m:sty m:val="i"/>
                  </m:rPr>
                  <m:t>t</m:t>
                </m:r>
              </m:sub>
              <m:sup>
                <m:r>
                  <m:rPr>
                    <m:sty m:val="i"/>
                  </m:rPr>
                  <m:t>V</m:t>
                </m:r>
              </m:sup>
            </m:sSubSup>
            <m:r>
              <m:rPr>
                <m:sty m:val="p"/>
              </m:rPr>
              <m:t>·</m:t>
            </m:r>
            <m:sSub>
              <m:e>
                <m:r>
                  <m:rPr>
                    <m:sty m:val="i"/>
                  </m:rPr>
                  <m:t>ϕ</m:t>
                </m:r>
              </m:e>
              <m:sub>
                <m:r>
                  <m:rPr>
                    <m:sty m:val="i"/>
                  </m:rPr>
                  <m:t>t</m:t>
                </m:r>
              </m:sub>
            </m:sSub>
          </m:e>
        </m:box>
      </m:oMathPara>
    </w:p>
    <w:p>
      <w:pPr>
        <w:spacing w:before="180" w:after="80" w:line="360" w:lineRule="auto"/>
      </w:pPr>
      <w:r>
        <w:rPr>
          <w:rFonts w:ascii="Times New Roman" w:hAnsi="Times New Roman" w:eastAsia="黑体"/>
          <w:b/>
          <w:i w:val="0"/>
          <w:sz w:val="24"/>
        </w:rPr>
        <w:t>2.4.3 引理与命题</w:t>
      </w:r>
    </w:p>
    <w:p>
      <w:pPr>
        <w:spacing w:before="0" w:after="60" w:line="360" w:lineRule="auto"/>
        <w:ind w:firstLine="480"/>
      </w:pPr>
      <w:r>
        <w:rPr>
          <w:rFonts w:ascii="Times New Roman" w:hAnsi="Times New Roman" w:eastAsia="宋体"/>
          <w:b w:val="0"/>
          <w:i w:val="0"/>
          <w:sz w:val="24"/>
        </w:rPr>
        <w:t>本节各项结果的性质并不相同，先作交代，以免误读各结果的强度。引理1 只是定义域约束的推论，其作用是确立"无杠杆下波动率目标是单向减仓工具"这一后文反复引用的基准事实，并不构成本文的原创理论贡献。命题1 的条件性更强，其前提（高波动期与深回撤期重合）取自经验而非模型，故单列为经验前提 A1。至于命题2，它给出的是内点最优出现的充分条件，属于比较静态命题而非存在性定理：该条件能否成立无法由模型先验地保证，须诉诸实证与模拟，模型本身不足以裁决。也因此，本文在理论上的着力点不在新定理，而在两件事：把两层风控的复合削减写成可检验的分解恒等式（命题1），并把"内点最优何时出现"表述为显式的经验条件（A2、A3），使其能够被数据证伪——第6.7节恰好演示了这种证伪如何发生。</w:t>
      </w:r>
    </w:p>
    <w:p>
      <w:pPr>
        <w:spacing w:before="0" w:after="60" w:line="360" w:lineRule="auto"/>
        <w:ind w:firstLine="480"/>
      </w:pPr>
      <w:r>
        <w:rPr>
          <w:rFonts w:ascii="Times New Roman" w:hAnsi="Times New Roman" w:eastAsia="宋体"/>
          <w:b/>
          <w:i w:val="0"/>
          <w:sz w:val="24"/>
        </w:rPr>
        <w:t>引理1（截断的不对称性）。</w:t>
      </w:r>
      <w:r>
        <w:rPr>
          <w:rFonts w:ascii="Times New Roman" w:hAnsi="Times New Roman" w:eastAsia="宋体"/>
          <w:b w:val="0"/>
          <w:i w:val="0"/>
          <w:sz w:val="24"/>
        </w:rPr>
        <w:t xml:space="preserve"> 当 Ē=1 时，e^V_t = min(σ</w:t>
      </w:r>
      <w:r>
        <w:rPr>
          <w:rFonts w:ascii="Times New Roman" w:hAnsi="Times New Roman" w:eastAsia="宋体"/>
          <w:b w:val="0"/>
          <w:i w:val="0"/>
          <w:sz w:val="24"/>
        </w:rPr>
        <w:t>*/σ̂_t, 1) 在 σ̂_t &lt; σ*</w:t>
      </w:r>
      <w:r>
        <w:rPr>
          <w:rFonts w:ascii="Times New Roman" w:hAnsi="Times New Roman" w:eastAsia="宋体"/>
          <w:b w:val="0"/>
          <w:i w:val="0"/>
          <w:sz w:val="24"/>
        </w:rPr>
        <w:t xml:space="preserve"> 时被截断，波动率目标失去"低波动加仓"功能。因此 E[e^V] ≤ E[σ</w:t>
      </w:r>
      <w:r>
        <w:rPr>
          <w:rFonts w:ascii="Times New Roman" w:hAnsi="Times New Roman" w:eastAsia="宋体"/>
          <w:b w:val="0"/>
          <w:i w:val="0"/>
          <w:sz w:val="24"/>
        </w:rPr>
        <w:t>*/σ̂]，且截断缺口随 σ*</w:t>
      </w:r>
      <w:r>
        <w:rPr>
          <w:rFonts w:ascii="Times New Roman" w:hAnsi="Times New Roman" w:eastAsia="宋体"/>
          <w:b w:val="0"/>
          <w:i w:val="0"/>
          <w:sz w:val="24"/>
        </w:rPr>
        <w:t xml:space="preserve"> 上升而扩大。</w:t>
      </w:r>
    </w:p>
    <w:p>
      <w:pPr>
        <w:spacing w:before="0" w:after="60" w:line="360" w:lineRule="auto"/>
        <w:ind w:firstLine="480"/>
      </w:pPr>
      <w:r>
        <w:rPr>
          <w:rFonts w:ascii="Times New Roman" w:hAnsi="Times New Roman" w:eastAsia="宋体"/>
          <w:b w:val="0"/>
          <w:i w:val="0"/>
          <w:sz w:val="24"/>
        </w:rPr>
        <w:t>*证明*</w:t>
      </w:r>
      <w:r>
        <w:rPr>
          <w:rFonts w:ascii="Times New Roman" w:hAnsi="Times New Roman" w:eastAsia="宋体"/>
          <w:b w:val="0"/>
          <w:i w:val="0"/>
          <w:sz w:val="24"/>
        </w:rPr>
        <w:t>：令 g(σ</w:t>
      </w:r>
      <w:r>
        <w:rPr>
          <w:rFonts w:ascii="Times New Roman" w:hAnsi="Times New Roman" w:eastAsia="宋体"/>
          <w:b w:val="0"/>
          <w:i w:val="0"/>
          <w:sz w:val="24"/>
        </w:rPr>
        <w:t>*) = E[min(σ*</w:t>
      </w:r>
      <w:r>
        <w:rPr>
          <w:rFonts w:ascii="Times New Roman" w:hAnsi="Times New Roman" w:eastAsia="宋体"/>
          <w:b w:val="0"/>
          <w:i w:val="0"/>
          <w:sz w:val="24"/>
        </w:rPr>
        <w:t>/σ̂, 1)]。对任意固定的 σ̂，min(σ</w:t>
      </w:r>
      <w:r>
        <w:rPr>
          <w:rFonts w:ascii="Times New Roman" w:hAnsi="Times New Roman" w:eastAsia="宋体"/>
          <w:b w:val="0"/>
          <w:i w:val="0"/>
          <w:sz w:val="24"/>
        </w:rPr>
        <w:t>*/σ̂, 1) 关于 σ*</w:t>
      </w:r>
      <w:r>
        <w:rPr>
          <w:rFonts w:ascii="Times New Roman" w:hAnsi="Times New Roman" w:eastAsia="宋体"/>
          <w:b w:val="0"/>
          <w:i w:val="0"/>
          <w:sz w:val="24"/>
        </w:rPr>
        <w:t xml:space="preserve"> 单调不减且为凹函数（常数函数与线性函数逐点取最小值保持单调性与凹性），故 g 为 σ</w:t>
      </w:r>
      <w:r>
        <w:rPr>
          <w:rFonts w:ascii="Times New Roman" w:hAnsi="Times New Roman" w:eastAsia="宋体"/>
          <w:b w:val="0"/>
          <w:i w:val="0"/>
          <w:sz w:val="24"/>
        </w:rPr>
        <w:t>* 的单调不减凹函数，且 g(σ*</w:t>
      </w:r>
      <w:r>
        <w:rPr>
          <w:rFonts w:ascii="Times New Roman" w:hAnsi="Times New Roman" w:eastAsia="宋体"/>
          <w:b w:val="0"/>
          <w:i w:val="0"/>
          <w:sz w:val="24"/>
        </w:rPr>
        <w:t>) → 1（当 σ</w:t>
      </w:r>
      <w:r>
        <w:rPr>
          <w:rFonts w:ascii="Times New Roman" w:hAnsi="Times New Roman" w:eastAsia="宋体"/>
          <w:b w:val="0"/>
          <w:i w:val="0"/>
          <w:sz w:val="24"/>
        </w:rPr>
        <w:t>* ≥ sup σ̂）。而 h(σ*</w:t>
      </w:r>
      <w:r>
        <w:rPr>
          <w:rFonts w:ascii="Times New Roman" w:hAnsi="Times New Roman" w:eastAsia="宋体"/>
          <w:b w:val="0"/>
          <w:i w:val="0"/>
          <w:sz w:val="24"/>
        </w:rPr>
        <w:t>) = E[σ</w:t>
      </w:r>
      <w:r>
        <w:rPr>
          <w:rFonts w:ascii="Times New Roman" w:hAnsi="Times New Roman" w:eastAsia="宋体"/>
          <w:b w:val="0"/>
          <w:i w:val="0"/>
          <w:sz w:val="24"/>
        </w:rPr>
        <w:t>*/σ̂] = σ*</w:t>
      </w:r>
      <w:r>
        <w:rPr>
          <w:rFonts w:ascii="Times New Roman" w:hAnsi="Times New Roman" w:eastAsia="宋体"/>
          <w:b w:val="0"/>
          <w:i w:val="0"/>
          <w:sz w:val="24"/>
        </w:rPr>
        <w:t>·E[1/σ̂] 关于 σ</w:t>
      </w:r>
      <w:r>
        <w:rPr>
          <w:rFonts w:ascii="Times New Roman" w:hAnsi="Times New Roman" w:eastAsia="宋体"/>
          <w:b w:val="0"/>
          <w:i w:val="0"/>
          <w:sz w:val="24"/>
        </w:rPr>
        <w:t>* 线性递增且无上界。故 h − g 关于 σ*</w:t>
      </w:r>
      <w:r>
        <w:rPr>
          <w:rFonts w:ascii="Times New Roman" w:hAnsi="Times New Roman" w:eastAsia="宋体"/>
          <w:b w:val="0"/>
          <w:i w:val="0"/>
          <w:sz w:val="24"/>
        </w:rPr>
        <w:t xml:space="preserve"> 单调非降且严格扩大。∎</w:t>
      </w:r>
    </w:p>
    <w:p>
      <w:pPr>
        <w:spacing w:before="0" w:after="60" w:line="360" w:lineRule="auto"/>
        <w:ind w:firstLine="480"/>
      </w:pPr>
      <w:r>
        <w:rPr>
          <w:rFonts w:ascii="Times New Roman" w:hAnsi="Times New Roman" w:eastAsia="宋体"/>
          <w:b w:val="0"/>
          <w:i w:val="0"/>
          <w:sz w:val="24"/>
        </w:rPr>
        <w:t>引理1 的经济含义是直接的：无杠杆约束下，波动率目标退化为</w:t>
      </w:r>
      <w:r>
        <w:rPr>
          <w:rFonts w:ascii="Times New Roman" w:hAnsi="Times New Roman" w:eastAsia="宋体"/>
          <w:b/>
          <w:i w:val="0"/>
          <w:sz w:val="24"/>
        </w:rPr>
        <w:t>单向减仓工具</w:t>
      </w:r>
      <w:r>
        <w:rPr>
          <w:rFonts w:ascii="Times New Roman" w:hAnsi="Times New Roman" w:eastAsia="宋体"/>
          <w:b w:val="0"/>
          <w:i w:val="0"/>
          <w:sz w:val="24"/>
        </w:rPr>
        <w:t>，只能削峰，不能填谷。Moreira-Muir 框架中"低波动加杠杆"这一收益来源，在此处并不存在。</w:t>
      </w:r>
    </w:p>
    <w:p>
      <w:pPr>
        <w:spacing w:before="0" w:after="60" w:line="360" w:lineRule="auto"/>
        <w:ind w:firstLine="480"/>
      </w:pPr>
      <w:r>
        <w:rPr>
          <w:rFonts w:ascii="Times New Roman" w:hAnsi="Times New Roman" w:eastAsia="宋体"/>
          <w:b/>
          <w:i w:val="0"/>
          <w:sz w:val="24"/>
        </w:rPr>
        <w:t>经验前提 A1（状态重合）。</w:t>
      </w:r>
      <w:r>
        <w:rPr>
          <w:rFonts w:ascii="Times New Roman" w:hAnsi="Times New Roman" w:eastAsia="宋体"/>
          <w:b w:val="0"/>
          <w:i w:val="0"/>
          <w:sz w:val="24"/>
        </w:rPr>
        <w:t xml:space="preserve"> 条件波动率 σ̂_t 与当期的水下深度 −D_t 正相关，即 corr(σ̂_t, −D_t) &gt; 0。</w:t>
      </w:r>
    </w:p>
    <w:p>
      <w:pPr>
        <w:spacing w:before="0" w:after="60" w:line="360" w:lineRule="auto"/>
        <w:ind w:firstLine="480"/>
      </w:pPr>
      <w:r>
        <w:rPr>
          <w:rFonts w:ascii="Times New Roman" w:hAnsi="Times New Roman" w:eastAsia="宋体"/>
          <w:b w:val="0"/>
          <w:i w:val="0"/>
          <w:sz w:val="24"/>
        </w:rPr>
        <w:t>A1 并非由模型设定推出，而是关于市场动态的经验假设：波动率上升期通常伴随净值下跌。本文在实证中直接估计该相关性加以检验，第5.1节的双重减仓占比即为其离散对应；数值模拟则通过"高波动状态下收益分布左移"的设定予以保证。</w:t>
      </w:r>
    </w:p>
    <w:p>
      <w:pPr>
        <w:spacing w:before="0" w:after="60" w:line="360" w:lineRule="auto"/>
        <w:ind w:firstLine="480"/>
      </w:pPr>
      <w:r>
        <w:rPr>
          <w:rFonts w:ascii="Times New Roman" w:hAnsi="Times New Roman" w:eastAsia="宋体"/>
          <w:b/>
          <w:i w:val="0"/>
          <w:sz w:val="24"/>
        </w:rPr>
        <w:t>命题1（乘性叠加的过度削减）。</w:t>
      </w:r>
      <w:r>
        <w:rPr>
          <w:rFonts w:ascii="Times New Roman" w:hAnsi="Times New Roman" w:eastAsia="宋体"/>
          <w:b w:val="0"/>
          <w:i w:val="0"/>
          <w:sz w:val="24"/>
        </w:rPr>
        <w:t xml:space="preserve"> 记两层各自的削减比例为 c^V_t = 1 − e^V_t、c^D_t = 1 − φ_t，则有效敞口相对满仓的总削减为：</w:t>
      </w:r>
    </w:p>
    <w:p>
      <w:pPr>
        <w:spacing w:before="160" w:after="160" w:line="240" w:lineRule="auto"/>
        <w:jc w:val="center"/>
      </w:pPr>
      <m:oMathPara>
        <m:box>
          <m:e>
            <m:r>
              <m:rPr>
                <m:sty m:val="p"/>
              </m:rPr>
              <m:t>1</m:t>
            </m:r>
            <m:r>
              <m:rPr>
                <m:sty m:val="p"/>
              </m:rPr>
              <m:t>−</m:t>
            </m:r>
            <m:sSub>
              <m:e>
                <m:r>
                  <m:rPr>
                    <m:sty m:val="i"/>
                  </m:rPr>
                  <m:t>e</m:t>
                </m:r>
              </m:e>
              <m:sub>
                <m:r>
                  <m:rPr>
                    <m:sty m:val="i"/>
                  </m:rPr>
                  <m:t>t</m:t>
                </m:r>
              </m:sub>
            </m:sSub>
            <m:r>
              <m:rPr>
                <m:sty m:val="p"/>
              </m:rPr>
              <m:t>=</m:t>
            </m:r>
            <m:r>
              <m:rPr>
                <m:sty m:val="p"/>
              </m:rPr>
              <m:t>1</m:t>
            </m:r>
            <m:r>
              <m:rPr>
                <m:sty m:val="p"/>
              </m:rPr>
              <m:t>−</m:t>
            </m:r>
            <m:r>
              <m:rPr>
                <m:sty m:val="p"/>
              </m:rPr>
              <m:t>(</m:t>
            </m:r>
            <m:r>
              <m:rPr>
                <m:sty m:val="p"/>
              </m:rPr>
              <m:t>1</m:t>
            </m:r>
            <m:r>
              <m:rPr>
                <m:sty m:val="p"/>
              </m:rPr>
              <m:t>−</m:t>
            </m:r>
            <m:sSubSup>
              <m:e>
                <m:r>
                  <m:rPr>
                    <m:sty m:val="i"/>
                  </m:rPr>
                  <m:t>c</m:t>
                </m:r>
              </m:e>
              <m:sub>
                <m:r>
                  <m:rPr>
                    <m:sty m:val="i"/>
                  </m:rPr>
                  <m:t>t</m:t>
                </m:r>
              </m:sub>
              <m:sup>
                <m:r>
                  <m:rPr>
                    <m:sty m:val="i"/>
                  </m:rPr>
                  <m:t>V</m:t>
                </m:r>
              </m:sup>
            </m:sSubSup>
            <m:r>
              <m:rPr>
                <m:sty m:val="p"/>
              </m:rPr>
              <m:t>)</m:t>
            </m:r>
            <m:r>
              <m:rPr>
                <m:sty m:val="p"/>
              </m:rPr>
              <m:t>(</m:t>
            </m:r>
            <m:r>
              <m:rPr>
                <m:sty m:val="p"/>
              </m:rPr>
              <m:t>1</m:t>
            </m:r>
            <m:r>
              <m:rPr>
                <m:sty m:val="p"/>
              </m:rPr>
              <m:t>−</m:t>
            </m:r>
            <m:sSubSup>
              <m:e>
                <m:r>
                  <m:rPr>
                    <m:sty m:val="i"/>
                  </m:rPr>
                  <m:t>c</m:t>
                </m:r>
              </m:e>
              <m:sub>
                <m:r>
                  <m:rPr>
                    <m:sty m:val="i"/>
                  </m:rPr>
                  <m:t>t</m:t>
                </m:r>
              </m:sub>
              <m:sup>
                <m:r>
                  <m:rPr>
                    <m:sty m:val="i"/>
                  </m:rPr>
                  <m:t>D</m:t>
                </m:r>
              </m:sup>
            </m:sSubSup>
            <m:r>
              <m:rPr>
                <m:sty m:val="p"/>
              </m:rPr>
              <m:t>)</m:t>
            </m:r>
            <m:r>
              <m:rPr>
                <m:sty m:val="p"/>
              </m:rPr>
              <m:t>=</m:t>
            </m:r>
            <m:sSubSup>
              <m:e>
                <m:r>
                  <m:rPr>
                    <m:sty m:val="i"/>
                  </m:rPr>
                  <m:t>c</m:t>
                </m:r>
              </m:e>
              <m:sub>
                <m:r>
                  <m:rPr>
                    <m:sty m:val="i"/>
                  </m:rPr>
                  <m:t>t</m:t>
                </m:r>
              </m:sub>
              <m:sup>
                <m:r>
                  <m:rPr>
                    <m:sty m:val="i"/>
                  </m:rPr>
                  <m:t>V</m:t>
                </m:r>
              </m:sup>
            </m:sSubSup>
            <m:r>
              <m:rPr>
                <m:sty m:val="p"/>
              </m:rPr>
              <m:t>+</m:t>
            </m:r>
            <m:sSubSup>
              <m:e>
                <m:r>
                  <m:rPr>
                    <m:sty m:val="i"/>
                  </m:rPr>
                  <m:t>c</m:t>
                </m:r>
              </m:e>
              <m:sub>
                <m:r>
                  <m:rPr>
                    <m:sty m:val="i"/>
                  </m:rPr>
                  <m:t>t</m:t>
                </m:r>
              </m:sub>
              <m:sup>
                <m:r>
                  <m:rPr>
                    <m:sty m:val="i"/>
                  </m:rPr>
                  <m:t>D</m:t>
                </m:r>
              </m:sup>
            </m:sSubSup>
            <m:r>
              <m:rPr>
                <m:sty m:val="p"/>
              </m:rPr>
              <m:t>−</m:t>
            </m:r>
            <m:sSubSup>
              <m:e>
                <m:r>
                  <m:rPr>
                    <m:sty m:val="i"/>
                  </m:rPr>
                  <m:t>c</m:t>
                </m:r>
              </m:e>
              <m:sub>
                <m:r>
                  <m:rPr>
                    <m:sty m:val="i"/>
                  </m:rPr>
                  <m:t>t</m:t>
                </m:r>
              </m:sub>
              <m:sup>
                <m:r>
                  <m:rPr>
                    <m:sty m:val="i"/>
                  </m:rPr>
                  <m:t>V</m:t>
                </m:r>
              </m:sup>
            </m:sSubSup>
            <m:sSubSup>
              <m:e>
                <m:r>
                  <m:rPr>
                    <m:sty m:val="i"/>
                  </m:rPr>
                  <m:t>c</m:t>
                </m:r>
              </m:e>
              <m:sub>
                <m:r>
                  <m:rPr>
                    <m:sty m:val="i"/>
                  </m:rPr>
                  <m:t>t</m:t>
                </m:r>
              </m:sub>
              <m:sup>
                <m:r>
                  <m:rPr>
                    <m:sty m:val="i"/>
                  </m:rPr>
                  <m:t>D</m:t>
                </m:r>
              </m:sup>
            </m:sSubSup>
          </m:e>
        </m:box>
      </m:oMathPara>
    </w:p>
    <w:p>
      <w:pPr>
        <w:spacing w:before="0" w:after="60" w:line="360" w:lineRule="auto"/>
        <w:ind w:firstLine="480"/>
      </w:pPr>
      <w:r>
        <w:rPr>
          <w:rFonts w:ascii="Times New Roman" w:hAnsi="Times New Roman" w:eastAsia="宋体"/>
          <w:b w:val="0"/>
          <w:i w:val="0"/>
          <w:sz w:val="24"/>
        </w:rPr>
        <w:t>由此得到两个结论：（i）对任意 t，总削减严格大于任一单层的削减（当两层削减均为正时），即 1 − e_t &gt; max(c^V_t, c^D_t)；（ii）在前提 A1 下，c^V 与 c^D 在同一时期同时取大值，故 corr(c^V, c^D) &gt; 0，且总削减中"重复计入"的部分 c^V·c^D 亦在该时期达到最大。</w:t>
      </w:r>
    </w:p>
    <w:p>
      <w:pPr>
        <w:spacing w:before="0" w:after="60" w:line="360" w:lineRule="auto"/>
        <w:ind w:firstLine="480"/>
      </w:pPr>
      <w:r>
        <w:rPr>
          <w:rFonts w:ascii="Times New Roman" w:hAnsi="Times New Roman" w:eastAsia="宋体"/>
          <w:b w:val="0"/>
          <w:i w:val="0"/>
          <w:sz w:val="24"/>
        </w:rPr>
        <w:t>命题1 的预测是</w:t>
      </w:r>
      <w:r>
        <w:rPr>
          <w:rFonts w:ascii="Times New Roman" w:hAnsi="Times New Roman" w:eastAsia="宋体"/>
          <w:b/>
          <w:i w:val="0"/>
          <w:sz w:val="24"/>
        </w:rPr>
        <w:t>状态依存的</w:t>
      </w:r>
      <w:r>
        <w:rPr>
          <w:rFonts w:ascii="Times New Roman" w:hAnsi="Times New Roman" w:eastAsia="宋体"/>
          <w:b w:val="0"/>
          <w:i w:val="0"/>
          <w:sz w:val="24"/>
        </w:rPr>
        <w:t>，不能读作"平均敞口低于两层各自均值之积"。由于两层同向变动，E[e^V·φ] 反而可能高于 E[e^V]·E[φ]。它的预测落在状态而非均值上：在需要削减的状态上，削减被重复施加了两次。因此对该命题的检验必须是状态条件的，无条件均值不构成有效证据（见第5.1节）。</w:t>
      </w:r>
    </w:p>
    <w:p>
      <w:pPr>
        <w:spacing w:before="0" w:after="60" w:line="360" w:lineRule="auto"/>
        <w:ind w:firstLine="480"/>
      </w:pPr>
      <w:r>
        <w:rPr>
          <w:rFonts w:ascii="Times New Roman" w:hAnsi="Times New Roman" w:eastAsia="宋体"/>
          <w:b/>
          <w:i w:val="0"/>
          <w:sz w:val="24"/>
        </w:rPr>
        <w:t>命题2（内点最优的充分条件）。</w:t>
      </w:r>
      <w:r>
        <w:rPr>
          <w:rFonts w:ascii="Times New Roman" w:hAnsi="Times New Roman" w:eastAsia="宋体"/>
          <w:b w:val="0"/>
          <w:i w:val="0"/>
          <w:sz w:val="24"/>
        </w:rPr>
        <w:t xml:space="preserve"> 将组合期望收益分解为：</w:t>
      </w:r>
    </w:p>
    <w:p>
      <w:pPr>
        <w:spacing w:before="160" w:after="160" w:line="240" w:lineRule="auto"/>
        <w:jc w:val="center"/>
      </w:pPr>
      <m:oMathPara>
        <m:box>
          <m:e>
            <m:r>
              <m:rPr>
                <m:sty m:val="i"/>
              </m:rPr>
              <m:t>R</m:t>
            </m:r>
            <m:r>
              <m:rPr>
                <m:sty m:val="p"/>
              </m:rPr>
              <m:t>(</m:t>
            </m:r>
            <m:sSup>
              <m:e>
                <m:r>
                  <m:rPr>
                    <m:sty m:val="i"/>
                  </m:rPr>
                  <m:t>σ</m:t>
                </m:r>
              </m:e>
              <m:sup>
                <m:r>
                  <m:rPr>
                    <m:sty m:val="p"/>
                  </m:rPr>
                  <m:t>*</m:t>
                </m:r>
              </m:sup>
            </m:sSup>
            <m:r>
              <m:rPr>
                <m:sty m:val="p"/>
              </m:rPr>
              <m:t>)</m:t>
            </m:r>
            <m:r>
              <m:rPr>
                <m:sty m:val="p"/>
              </m:rPr>
              <m:t>=</m:t>
            </m:r>
            <m:limLow>
              <m:e>
                <m:groupChr>
                  <m:groupChrPr>
                    <m:chr m:val="⏟"/>
                    <m:pos m:val="bot"/>
                  </m:groupChrPr>
                  <m:e>
                    <m:box>
                      <m:e>
                        <m:groupChr>
                          <m:groupChrPr>
                            <m:chr m:val="¯"/>
                            <m:pos m:val="top"/>
                          </m:groupChrPr>
                          <m:e>
                            <m:box>
                              <m:e>
                                <m:r>
                                  <m:rPr>
                                    <m:sty m:val="i"/>
                                  </m:rPr>
                                  <m:t>e</m:t>
                                </m:r>
                              </m:e>
                            </m:box>
                          </m:e>
                        </m:groupChr>
                        <m:r>
                          <m:rPr>
                            <m:sty m:val="p"/>
                          </m:rPr>
                          <m:t>(</m:t>
                        </m:r>
                        <m:sSup>
                          <m:e>
                            <m:r>
                              <m:rPr>
                                <m:sty m:val="i"/>
                              </m:rPr>
                              <m:t>σ</m:t>
                            </m:r>
                          </m:e>
                          <m:sup>
                            <m:r>
                              <m:rPr>
                                <m:sty m:val="p"/>
                              </m:rPr>
                              <m:t>*</m:t>
                            </m:r>
                          </m:sup>
                        </m:sSup>
                        <m:r>
                          <m:rPr>
                            <m:sty m:val="p"/>
                          </m:rPr>
                          <m:t>)</m:t>
                        </m:r>
                        <m:r>
                          <m:rPr>
                            <m:sty m:val="p"/>
                          </m:rPr>
                          <m:t>·</m:t>
                        </m:r>
                        <m:sSub>
                          <m:e>
                            <m:groupChr>
                              <m:groupChrPr>
                                <m:chr m:val="¯"/>
                                <m:pos m:val="top"/>
                              </m:groupChrPr>
                              <m:e>
                                <m:box>
                                  <m:e>
                                    <m:r>
                                      <m:rPr>
                                        <m:sty m:val="i"/>
                                      </m:rPr>
                                      <m:t>r</m:t>
                                    </m:r>
                                  </m:e>
                                </m:box>
                              </m:e>
                            </m:groupChr>
                          </m:e>
                          <m:sub>
                            <m:box>
                              <m:e>
                                <m:r>
                                  <m:rPr>
                                    <m:sty m:val="i"/>
                                  </m:rPr>
                                  <m:t>r</m:t>
                                </m:r>
                                <m:r>
                                  <m:rPr>
                                    <m:sty m:val="i"/>
                                  </m:rPr>
                                  <m:t>e</m:t>
                                </m:r>
                                <m:r>
                                  <m:rPr>
                                    <m:sty m:val="i"/>
                                  </m:rPr>
                                  <m:t>f</m:t>
                                </m:r>
                              </m:e>
                            </m:box>
                          </m:sub>
                        </m:sSub>
                      </m:e>
                    </m:box>
                  </m:e>
                </m:groupChr>
              </m:e>
              <m:lim>
                <m:box>
                  <m:e>
                    <m:r>
                      <m:rPr>
                        <m:nor/>
                      </m:rPr>
                      <m:t>敞口效应</m:t>
                    </m:r>
                  </m:e>
                </m:box>
              </m:lim>
            </m:limLow>
            <m:r>
              <m:rPr>
                <m:sty m:val="p"/>
              </m:rPr>
              <m:t>+</m:t>
            </m:r>
            <m:limLow>
              <m:e>
                <m:groupChr>
                  <m:groupChrPr>
                    <m:chr m:val="⏟"/>
                    <m:pos m:val="bot"/>
                  </m:groupChrPr>
                  <m:e>
                    <m:box>
                      <m:e>
                        <m:r>
                          <m:rPr>
                            <m:sty m:val="i"/>
                          </m:rPr>
                          <m:t>T</m:t>
                        </m:r>
                        <m:r>
                          <m:rPr>
                            <m:sty m:val="p"/>
                          </m:rPr>
                          <m:t>(</m:t>
                        </m:r>
                        <m:sSup>
                          <m:e>
                            <m:r>
                              <m:rPr>
                                <m:sty m:val="i"/>
                              </m:rPr>
                              <m:t>σ</m:t>
                            </m:r>
                          </m:e>
                          <m:sup>
                            <m:r>
                              <m:rPr>
                                <m:sty m:val="p"/>
                              </m:rPr>
                              <m:t>*</m:t>
                            </m:r>
                          </m:sup>
                        </m:sSup>
                        <m:r>
                          <m:rPr>
                            <m:sty m:val="p"/>
                          </m:rPr>
                          <m:t>)</m:t>
                        </m:r>
                      </m:e>
                    </m:box>
                  </m:e>
                </m:groupChr>
              </m:e>
              <m:lim>
                <m:box>
                  <m:e>
                    <m:r>
                      <m:rPr>
                        <m:nor/>
                      </m:rPr>
                      <m:t>择时效应</m:t>
                    </m:r>
                  </m:e>
                </m:box>
              </m:lim>
            </m:limLow>
          </m:e>
        </m:box>
      </m:oMathPara>
    </w:p>
    <w:p>
      <w:pPr>
        <w:spacing w:before="0" w:after="60" w:line="360" w:lineRule="auto"/>
        <w:ind w:firstLine="480"/>
      </w:pPr>
      <w:r>
        <w:rPr>
          <w:rFonts w:ascii="Times New Roman" w:hAnsi="Times New Roman" w:eastAsia="宋体"/>
          <w:b w:val="0"/>
          <w:i w:val="0"/>
          <w:sz w:val="24"/>
        </w:rPr>
        <w:t>对 σ* 求导：</w:t>
      </w:r>
    </w:p>
    <w:p>
      <w:pPr>
        <w:spacing w:before="160" w:after="160" w:line="240" w:lineRule="auto"/>
        <w:jc w:val="center"/>
      </w:pPr>
      <m:oMathPara>
        <m:box>
          <m:e>
            <m:f>
              <m:num>
                <m:box>
                  <m:e>
                    <m:r>
                      <m:rPr>
                        <m:sty m:val="i"/>
                      </m:rPr>
                      <m:t>d</m:t>
                    </m:r>
                    <m:r>
                      <m:rPr>
                        <m:sty m:val="i"/>
                      </m:rPr>
                      <m:t>R</m:t>
                    </m:r>
                  </m:e>
                </m:box>
              </m:num>
              <m:den>
                <m:box>
                  <m:e>
                    <m:r>
                      <m:rPr>
                        <m:sty m:val="i"/>
                      </m:rPr>
                      <m:t>d</m:t>
                    </m:r>
                    <m:sSup>
                      <m:e>
                        <m:r>
                          <m:rPr>
                            <m:sty m:val="i"/>
                          </m:rPr>
                          <m:t>σ</m:t>
                        </m:r>
                      </m:e>
                      <m:sup>
                        <m:r>
                          <m:rPr>
                            <m:sty m:val="p"/>
                          </m:rPr>
                          <m:t>*</m:t>
                        </m:r>
                      </m:sup>
                    </m:sSup>
                  </m:e>
                </m:box>
              </m:den>
            </m:f>
            <m:r>
              <m:rPr>
                <m:sty m:val="p"/>
              </m:rPr>
              <m:t>=</m:t>
            </m:r>
            <m:sSub>
              <m:e>
                <m:groupChr>
                  <m:groupChrPr>
                    <m:chr m:val="¯"/>
                    <m:pos m:val="top"/>
                  </m:groupChrPr>
                  <m:e>
                    <m:box>
                      <m:e>
                        <m:r>
                          <m:rPr>
                            <m:sty m:val="i"/>
                          </m:rPr>
                          <m:t>r</m:t>
                        </m:r>
                      </m:e>
                    </m:box>
                  </m:e>
                </m:groupChr>
              </m:e>
              <m:sub>
                <m:box>
                  <m:e>
                    <m:r>
                      <m:rPr>
                        <m:sty m:val="i"/>
                      </m:rPr>
                      <m:t>r</m:t>
                    </m:r>
                    <m:r>
                      <m:rPr>
                        <m:sty m:val="i"/>
                      </m:rPr>
                      <m:t>e</m:t>
                    </m:r>
                    <m:r>
                      <m:rPr>
                        <m:sty m:val="i"/>
                      </m:rPr>
                      <m:t>f</m:t>
                    </m:r>
                  </m:e>
                </m:box>
              </m:sub>
            </m:sSub>
            <m:r>
              <m:rPr>
                <m:sty m:val="p"/>
              </m:rPr>
              <m:t>·</m:t>
            </m:r>
            <m:sSup>
              <m:e>
                <m:groupChr>
                  <m:groupChrPr>
                    <m:chr m:val="¯"/>
                    <m:pos m:val="top"/>
                  </m:groupChrPr>
                  <m:e>
                    <m:box>
                      <m:e>
                        <m:r>
                          <m:rPr>
                            <m:sty m:val="i"/>
                          </m:rPr>
                          <m:t>e</m:t>
                        </m:r>
                      </m:e>
                    </m:box>
                  </m:e>
                </m:groupChr>
              </m:e>
              <m:sup>
                <m:r>
                  <m:rPr>
                    <m:sty m:val="i"/>
                  </m:rPr>
                  <m:t>′</m:t>
                </m:r>
              </m:sup>
            </m:sSup>
            <m:r>
              <m:rPr>
                <m:sty m:val="p"/>
              </m:rPr>
              <m:t>(</m:t>
            </m:r>
            <m:sSup>
              <m:e>
                <m:r>
                  <m:rPr>
                    <m:sty m:val="i"/>
                  </m:rPr>
                  <m:t>σ</m:t>
                </m:r>
              </m:e>
              <m:sup>
                <m:r>
                  <m:rPr>
                    <m:sty m:val="p"/>
                  </m:rPr>
                  <m:t>*</m:t>
                </m:r>
              </m:sup>
            </m:sSup>
            <m:r>
              <m:rPr>
                <m:sty m:val="p"/>
              </m:rPr>
              <m:t>)</m:t>
            </m:r>
            <m:r>
              <m:rPr>
                <m:sty m:val="p"/>
              </m:rPr>
              <m:t>+</m:t>
            </m:r>
            <m:sSup>
              <m:e>
                <m:r>
                  <m:rPr>
                    <m:sty m:val="i"/>
                  </m:rPr>
                  <m:t>T</m:t>
                </m:r>
              </m:e>
              <m:sup>
                <m:r>
                  <m:rPr>
                    <m:sty m:val="i"/>
                  </m:rPr>
                  <m:t>′</m:t>
                </m:r>
              </m:sup>
            </m:sSup>
            <m:r>
              <m:rPr>
                <m:sty m:val="p"/>
              </m:rPr>
              <m:t>(</m:t>
            </m:r>
            <m:sSup>
              <m:e>
                <m:r>
                  <m:rPr>
                    <m:sty m:val="i"/>
                  </m:rPr>
                  <m:t>σ</m:t>
                </m:r>
              </m:e>
              <m:sup>
                <m:r>
                  <m:rPr>
                    <m:sty m:val="p"/>
                  </m:rPr>
                  <m:t>*</m:t>
                </m:r>
              </m:sup>
            </m:sSup>
            <m:r>
              <m:rPr>
                <m:sty m:val="p"/>
              </m:rPr>
              <m:t>)</m:t>
            </m:r>
          </m:e>
        </m:box>
      </m:oMathPara>
    </w:p>
    <w:p>
      <w:pPr>
        <w:spacing w:before="0" w:after="60" w:line="360" w:lineRule="auto"/>
        <w:ind w:firstLine="480"/>
      </w:pPr>
      <w:r>
        <w:rPr>
          <w:rFonts w:ascii="Times New Roman" w:hAnsi="Times New Roman" w:eastAsia="宋体"/>
          <w:b w:val="0"/>
          <w:i w:val="0"/>
          <w:sz w:val="24"/>
        </w:rPr>
        <w:t>其中 r̄_ref &gt; 0 为参照组合的平均超额收益。在 R(σ</w:t>
      </w:r>
      <w:r>
        <w:rPr>
          <w:rFonts w:ascii="Times New Roman" w:hAnsi="Times New Roman" w:eastAsia="宋体"/>
          <w:b w:val="0"/>
          <w:i w:val="0"/>
          <w:sz w:val="24"/>
        </w:rPr>
        <w:t>*) 于相关区间拟凹的前提下，R(σ*</w:t>
      </w:r>
      <w:r>
        <w:rPr>
          <w:rFonts w:ascii="Times New Roman" w:hAnsi="Times New Roman" w:eastAsia="宋体"/>
          <w:b w:val="0"/>
          <w:i w:val="0"/>
          <w:sz w:val="24"/>
        </w:rPr>
        <w:t>) 存在内点最大值的</w:t>
      </w:r>
      <w:r>
        <w:rPr>
          <w:rFonts w:ascii="Times New Roman" w:hAnsi="Times New Roman" w:eastAsia="宋体"/>
          <w:b/>
          <w:i w:val="0"/>
          <w:sz w:val="24"/>
        </w:rPr>
        <w:t>充分条件</w:t>
      </w:r>
      <w:r>
        <w:rPr>
          <w:rFonts w:ascii="Times New Roman" w:hAnsi="Times New Roman" w:eastAsia="宋体"/>
          <w:b w:val="0"/>
          <w:i w:val="0"/>
          <w:sz w:val="24"/>
        </w:rPr>
        <w:t>为：存在 σ̂</w:t>
      </w:r>
      <w:r>
        <w:rPr>
          <w:rFonts w:ascii="Times New Roman" w:hAnsi="Times New Roman" w:eastAsia="宋体"/>
          <w:b w:val="0"/>
          <w:i w:val="0"/>
          <w:sz w:val="24"/>
        </w:rPr>
        <w:t>*，使得当 σ*</w:t>
      </w:r>
      <w:r>
        <w:rPr>
          <w:rFonts w:ascii="Times New Roman" w:hAnsi="Times New Roman" w:eastAsia="宋体"/>
          <w:b w:val="0"/>
          <w:i w:val="0"/>
          <w:sz w:val="24"/>
        </w:rPr>
        <w:t xml:space="preserve"> &lt; σ̂</w:t>
      </w:r>
      <w:r>
        <w:rPr>
          <w:rFonts w:ascii="Times New Roman" w:hAnsi="Times New Roman" w:eastAsia="宋体"/>
          <w:b w:val="0"/>
          <w:i w:val="0"/>
          <w:sz w:val="24"/>
        </w:rPr>
        <w:t>* 时 dR/dσ*</w:t>
      </w:r>
      <w:r>
        <w:rPr>
          <w:rFonts w:ascii="Times New Roman" w:hAnsi="Times New Roman" w:eastAsia="宋体"/>
          <w:b w:val="0"/>
          <w:i w:val="0"/>
          <w:sz w:val="24"/>
        </w:rPr>
        <w:t xml:space="preserve"> &gt; 0，且当 σ</w:t>
      </w:r>
      <w:r>
        <w:rPr>
          <w:rFonts w:ascii="Times New Roman" w:hAnsi="Times New Roman" w:eastAsia="宋体"/>
          <w:b w:val="0"/>
          <w:i w:val="0"/>
          <w:sz w:val="24"/>
        </w:rPr>
        <w:t>* &gt; σ̂*</w:t>
      </w:r>
      <w:r>
        <w:rPr>
          <w:rFonts w:ascii="Times New Roman" w:hAnsi="Times New Roman" w:eastAsia="宋体"/>
          <w:b w:val="0"/>
          <w:i w:val="0"/>
          <w:sz w:val="24"/>
        </w:rPr>
        <w:t xml:space="preserve"> 时 dR/dσ* &lt; 0。本文给出使该条件成立的两项经验要求：</w:t>
      </w:r>
    </w:p>
    <w:p>
      <w:pPr>
        <w:spacing w:before="40" w:after="40" w:line="336" w:lineRule="auto"/>
        <w:ind w:left="480"/>
      </w:pPr>
      <w:r>
        <w:rPr>
          <w:rFonts w:ascii="Times New Roman" w:hAnsi="Times New Roman" w:eastAsia="宋体"/>
          <w:b/>
          <w:i w:val="0"/>
          <w:sz w:val="24"/>
        </w:rPr>
        <w:t>A2（敞口饱和）</w:t>
      </w:r>
      <w:r>
        <w:rPr>
          <w:rFonts w:ascii="Times New Roman" w:hAnsi="Times New Roman" w:eastAsia="宋体"/>
          <w:b w:val="0"/>
          <w:i w:val="0"/>
          <w:sz w:val="24"/>
        </w:rPr>
        <w:t>：ē'(σ</w:t>
      </w:r>
      <w:r>
        <w:rPr>
          <w:rFonts w:ascii="Times New Roman" w:hAnsi="Times New Roman" w:eastAsia="宋体"/>
          <w:b w:val="0"/>
          <w:i w:val="0"/>
          <w:sz w:val="24"/>
        </w:rPr>
        <w:t>*) 在 σ*</w:t>
      </w:r>
      <w:r>
        <w:rPr>
          <w:rFonts w:ascii="Times New Roman" w:hAnsi="Times New Roman" w:eastAsia="宋体"/>
          <w:b w:val="0"/>
          <w:i w:val="0"/>
          <w:sz w:val="24"/>
        </w:rPr>
        <w:t xml:space="preserve"> 较大时趋于零，即平均有效敞口随目标波动的上升而饱和。其机制来自引理1（截断）与命题1（乘性削减）的叠加。实证中 ē 从0.318（σ</w:t>
      </w:r>
      <w:r>
        <w:rPr>
          <w:rFonts w:ascii="Times New Roman" w:hAnsi="Times New Roman" w:eastAsia="宋体"/>
          <w:b w:val="0"/>
          <w:i w:val="0"/>
          <w:sz w:val="24"/>
        </w:rPr>
        <w:t>*=5.5%）仅升至0.340（σ*</w:t>
      </w:r>
      <w:r>
        <w:rPr>
          <w:rFonts w:ascii="Times New Roman" w:hAnsi="Times New Roman" w:eastAsia="宋体"/>
          <w:b w:val="0"/>
          <w:i w:val="0"/>
          <w:sz w:val="24"/>
        </w:rPr>
        <w:t>=12%），而同期的目标敞口从0.444升至0.852。</w:t>
      </w:r>
    </w:p>
    <w:p>
      <w:pPr>
        <w:spacing w:before="40" w:after="40" w:line="336" w:lineRule="auto"/>
        <w:ind w:left="480"/>
      </w:pPr>
      <w:r>
        <w:rPr>
          <w:rFonts w:ascii="Times New Roman" w:hAnsi="Times New Roman" w:eastAsia="宋体"/>
          <w:b/>
          <w:i w:val="0"/>
          <w:sz w:val="24"/>
        </w:rPr>
        <w:t>A3（择时衰减）</w:t>
      </w:r>
      <w:r>
        <w:rPr>
          <w:rFonts w:ascii="Times New Roman" w:hAnsi="Times New Roman" w:eastAsia="宋体"/>
          <w:b w:val="0"/>
          <w:i w:val="0"/>
          <w:sz w:val="24"/>
        </w:rPr>
        <w:t>：T'(σ</w:t>
      </w:r>
      <w:r>
        <w:rPr>
          <w:rFonts w:ascii="Times New Roman" w:hAnsi="Times New Roman" w:eastAsia="宋体"/>
          <w:b w:val="0"/>
          <w:i w:val="0"/>
          <w:sz w:val="24"/>
        </w:rPr>
        <w:t>*) &lt; 0，即回撤控制的机械削减对趋势信号完整性的破坏，随 σ*</w:t>
      </w:r>
      <w:r>
        <w:rPr>
          <w:rFonts w:ascii="Times New Roman" w:hAnsi="Times New Roman" w:eastAsia="宋体"/>
          <w:b w:val="0"/>
          <w:i w:val="0"/>
          <w:sz w:val="24"/>
        </w:rPr>
        <w:t xml:space="preserve"> 上升而加剧。</w:t>
      </w:r>
    </w:p>
    <w:p>
      <w:pPr>
        <w:spacing w:before="0" w:after="60" w:line="360" w:lineRule="auto"/>
        <w:ind w:firstLine="480"/>
      </w:pPr>
      <w:r>
        <w:rPr>
          <w:rFonts w:ascii="Times New Roman" w:hAnsi="Times New Roman" w:eastAsia="宋体"/>
          <w:b w:val="0"/>
          <w:i w:val="0"/>
          <w:sz w:val="24"/>
        </w:rPr>
        <w:t>当 σ</w:t>
      </w:r>
      <w:r>
        <w:rPr>
          <w:rFonts w:ascii="Times New Roman" w:hAnsi="Times New Roman" w:eastAsia="宋体"/>
          <w:b w:val="0"/>
          <w:i w:val="0"/>
          <w:sz w:val="24"/>
        </w:rPr>
        <w:t>* 较小时，回撤控制几乎不触发，ē'(σ*</w:t>
      </w:r>
      <w:r>
        <w:rPr>
          <w:rFonts w:ascii="Times New Roman" w:hAnsi="Times New Roman" w:eastAsia="宋体"/>
          <w:b w:val="0"/>
          <w:i w:val="0"/>
          <w:sz w:val="24"/>
        </w:rPr>
        <w:t>) ≈ 1/σ̂ &gt; 0 且 T' 可忽略，故 dR/dσ</w:t>
      </w:r>
      <w:r>
        <w:rPr>
          <w:rFonts w:ascii="Times New Roman" w:hAnsi="Times New Roman" w:eastAsia="宋体"/>
          <w:b w:val="0"/>
          <w:i w:val="0"/>
          <w:sz w:val="24"/>
        </w:rPr>
        <w:t>* &gt; 0；当 σ*</w:t>
      </w:r>
      <w:r>
        <w:rPr>
          <w:rFonts w:ascii="Times New Roman" w:hAnsi="Times New Roman" w:eastAsia="宋体"/>
          <w:b w:val="0"/>
          <w:i w:val="0"/>
          <w:sz w:val="24"/>
        </w:rPr>
        <w:t xml:space="preserve"> 足够大时，A2 使第一项趋于零，A3 使第二项为负，故 dR/dσ* &lt; 0。</w:t>
      </w:r>
    </w:p>
    <w:p>
      <w:pPr>
        <w:spacing w:before="0" w:after="60" w:line="360" w:lineRule="auto"/>
        <w:ind w:firstLine="480"/>
      </w:pPr>
      <w:r>
        <w:rPr>
          <w:rFonts w:ascii="Times New Roman" w:hAnsi="Times New Roman" w:eastAsia="宋体"/>
          <w:b w:val="0"/>
          <w:i w:val="0"/>
          <w:sz w:val="24"/>
        </w:rPr>
        <w:t>*说明*</w:t>
      </w:r>
      <w:r>
        <w:rPr>
          <w:rFonts w:ascii="Times New Roman" w:hAnsi="Times New Roman" w:eastAsia="宋体"/>
          <w:b w:val="0"/>
          <w:i w:val="0"/>
          <w:sz w:val="24"/>
        </w:rPr>
        <w:t>：A2 与 A3 是否成立取决于资产池的波动结构、回撤阈值的宽严与信号的性质，无法先验保证；第5.1、5.2与5.4节以实证和模拟检验之，第6.7节的阈值扫描则显示，当阈值放宽至 A2 失效时，前沿恢复单调。</w:t>
      </w:r>
    </w:p>
    <w:p>
      <w:pPr>
        <w:spacing w:before="0" w:after="60" w:line="360" w:lineRule="auto"/>
        <w:ind w:firstLine="480"/>
      </w:pPr>
      <w:r>
        <w:rPr>
          <w:rFonts w:ascii="Times New Roman" w:hAnsi="Times New Roman" w:eastAsia="宋体"/>
          <w:b/>
          <w:i w:val="0"/>
          <w:sz w:val="24"/>
        </w:rPr>
        <w:t>推论（杠杆无法化解）。</w:t>
      </w:r>
      <w:r>
        <w:rPr>
          <w:rFonts w:ascii="Times New Roman" w:hAnsi="Times New Roman" w:eastAsia="宋体"/>
          <w:b w:val="0"/>
          <w:i w:val="0"/>
          <w:sz w:val="24"/>
        </w:rPr>
        <w:t xml:space="preserve"> 由于 φ 的削减是乘性的，提高 Ē 只能放大 e^V，无法改变 φ 的触发概率与削减比例。形式地，令 e^V(Ē) = min(σ*/σ̂, Ē)，则有效敞口 e(Ē) = e^V(Ē)·φ，其中 φ 不依赖 Ē。因此放松杠杆约束不能消除内点最优，只能在一定程度上缓解（实证中末端衰减从0.67pp降至0.14pp）。</w:t>
      </w:r>
    </w:p>
    <w:p>
      <w:pPr>
        <w:spacing w:before="180" w:after="80" w:line="360" w:lineRule="auto"/>
      </w:pPr>
      <w:r>
        <w:rPr>
          <w:rFonts w:ascii="Times New Roman" w:hAnsi="Times New Roman" w:eastAsia="黑体"/>
          <w:b/>
          <w:i w:val="0"/>
          <w:sz w:val="24"/>
        </w:rPr>
        <w:t>2.4.4 可检验假说</w:t>
      </w:r>
    </w:p>
    <w:p>
      <w:pPr>
        <w:spacing w:before="40" w:after="40" w:line="336" w:lineRule="auto"/>
        <w:ind w:left="480"/>
      </w:pPr>
      <w:r>
        <w:rPr>
          <w:rFonts w:ascii="Times New Roman" w:hAnsi="Times New Roman" w:eastAsia="宋体"/>
          <w:b/>
          <w:i w:val="0"/>
          <w:sz w:val="24"/>
        </w:rPr>
        <w:t>H1（前沿分岔）</w:t>
      </w:r>
      <w:r>
        <w:rPr>
          <w:rFonts w:ascii="Times New Roman" w:hAnsi="Times New Roman" w:eastAsia="宋体"/>
          <w:b w:val="0"/>
          <w:i w:val="0"/>
          <w:sz w:val="24"/>
        </w:rPr>
        <w:t>：单独使用波动率目标时，年化收益关于 σ* 单调递增；叠加回撤控制后，转为单峰，存在内点最优。</w:t>
      </w:r>
    </w:p>
    <w:p>
      <w:pPr>
        <w:spacing w:before="40" w:after="40" w:line="336" w:lineRule="auto"/>
        <w:ind w:left="480"/>
      </w:pPr>
      <w:r>
        <w:rPr>
          <w:rFonts w:ascii="Times New Roman" w:hAnsi="Times New Roman" w:eastAsia="宋体"/>
          <w:b/>
          <w:i w:val="0"/>
          <w:sz w:val="24"/>
        </w:rPr>
        <w:t>H2（负交互）</w:t>
      </w:r>
      <w:r>
        <w:rPr>
          <w:rFonts w:ascii="Times New Roman" w:hAnsi="Times New Roman" w:eastAsia="宋体"/>
          <w:b w:val="0"/>
          <w:i w:val="0"/>
          <w:sz w:val="24"/>
        </w:rPr>
        <w:t>：σ</w:t>
      </w:r>
      <w:r>
        <w:rPr>
          <w:rFonts w:ascii="Times New Roman" w:hAnsi="Times New Roman" w:eastAsia="宋体"/>
          <w:b w:val="0"/>
          <w:i w:val="0"/>
          <w:sz w:val="24"/>
        </w:rPr>
        <w:t>* × DC 的交互系数为负，且其绝对值接近 σ*</w:t>
      </w:r>
      <w:r>
        <w:rPr>
          <w:rFonts w:ascii="Times New Roman" w:hAnsi="Times New Roman" w:eastAsia="宋体"/>
          <w:b w:val="0"/>
          <w:i w:val="0"/>
          <w:sz w:val="24"/>
        </w:rPr>
        <w:t xml:space="preserve"> 主效应系数（本文以描述性方式估计，见4.3节关于推断口径的说明）。</w:t>
      </w:r>
    </w:p>
    <w:p>
      <w:pPr>
        <w:spacing w:before="40" w:after="40" w:line="336" w:lineRule="auto"/>
        <w:ind w:left="480"/>
      </w:pPr>
      <w:r>
        <w:rPr>
          <w:rFonts w:ascii="Times New Roman" w:hAnsi="Times New Roman" w:eastAsia="宋体"/>
          <w:b/>
          <w:i w:val="0"/>
          <w:sz w:val="24"/>
        </w:rPr>
        <w:t>H3（机制：敞口实现率）</w:t>
      </w:r>
      <w:r>
        <w:rPr>
          <w:rFonts w:ascii="Times New Roman" w:hAnsi="Times New Roman" w:eastAsia="宋体"/>
          <w:b w:val="0"/>
          <w:i w:val="0"/>
          <w:sz w:val="24"/>
        </w:rPr>
        <w:t>：随 σ* 上升，敞口实现率（实际波动/目标波动）单调下降，回撤控制的敞口削减比例单调上升。</w:t>
      </w:r>
    </w:p>
    <w:p>
      <w:pPr>
        <w:spacing w:before="40" w:after="40" w:line="336" w:lineRule="auto"/>
        <w:ind w:left="480"/>
      </w:pPr>
      <w:r>
        <w:rPr>
          <w:rFonts w:ascii="Times New Roman" w:hAnsi="Times New Roman" w:eastAsia="宋体"/>
          <w:b/>
          <w:i w:val="0"/>
          <w:sz w:val="24"/>
        </w:rPr>
        <w:t>H4（机制：敞口压制，而非时点错误）</w:t>
      </w:r>
      <w:r>
        <w:rPr>
          <w:rFonts w:ascii="Times New Roman" w:hAnsi="Times New Roman" w:eastAsia="宋体"/>
          <w:b w:val="0"/>
          <w:i w:val="0"/>
          <w:sz w:val="24"/>
        </w:rPr>
        <w:t>：以未施加风控的参照组合作状态控制后，重度减仓期之后的短中期窗口（20—120个交易日）内，市场前瞻收益</w:t>
      </w:r>
      <w:r>
        <w:rPr>
          <w:rFonts w:ascii="Times New Roman" w:hAnsi="Times New Roman" w:eastAsia="宋体"/>
          <w:b/>
          <w:i w:val="0"/>
          <w:sz w:val="24"/>
        </w:rPr>
        <w:t>低于</w:t>
      </w:r>
      <w:r>
        <w:rPr>
          <w:rFonts w:ascii="Times New Roman" w:hAnsi="Times New Roman" w:eastAsia="宋体"/>
          <w:b w:val="0"/>
          <w:i w:val="0"/>
          <w:sz w:val="24"/>
        </w:rPr>
        <w:t>未减仓期；因此收益损失不来自"在错误时点减仓"，而来自敞口被压制后的复利损失与棘轮效应。</w:t>
      </w:r>
      <w:r>
        <w:rPr>
          <w:rFonts w:ascii="Times New Roman" w:hAnsi="Times New Roman" w:eastAsia="宋体"/>
          <w:b w:val="0"/>
          <w:i w:val="0"/>
          <w:sz w:val="24"/>
        </w:rPr>
        <w:t>*证伪条件*</w:t>
      </w:r>
      <w:r>
        <w:rPr>
          <w:rFonts w:ascii="Times New Roman" w:hAnsi="Times New Roman" w:eastAsia="宋体"/>
          <w:b w:val="0"/>
          <w:i w:val="0"/>
          <w:sz w:val="24"/>
        </w:rPr>
        <w:t>：若重度减仓之后的参照组合前瞻收益在各窗口均不低于未减仓期，则"时点错误"解释成立，本假说不成立。</w:t>
      </w:r>
    </w:p>
    <w:p>
      <w:pPr>
        <w:spacing w:before="40" w:after="40" w:line="336" w:lineRule="auto"/>
        <w:ind w:left="480"/>
      </w:pPr>
      <w:r>
        <w:rPr>
          <w:rFonts w:ascii="Times New Roman" w:hAnsi="Times New Roman" w:eastAsia="宋体"/>
          <w:b/>
          <w:i w:val="0"/>
          <w:sz w:val="24"/>
        </w:rPr>
        <w:t>H5（杠杆无法化解）</w:t>
      </w:r>
      <w:r>
        <w:rPr>
          <w:rFonts w:ascii="Times New Roman" w:hAnsi="Times New Roman" w:eastAsia="宋体"/>
          <w:b w:val="0"/>
          <w:i w:val="0"/>
          <w:sz w:val="24"/>
        </w:rPr>
        <w:t>：放松 Ē 至2后，内点最优依然存在。</w:t>
      </w:r>
    </w:p>
    <w:p>
      <w:pPr>
        <w:spacing w:before="40" w:after="40" w:line="336" w:lineRule="auto"/>
        <w:ind w:left="480"/>
      </w:pPr>
      <w:r>
        <w:rPr>
          <w:rFonts w:ascii="Times New Roman" w:hAnsi="Times New Roman" w:eastAsia="宋体"/>
          <w:b/>
          <w:i w:val="0"/>
          <w:sz w:val="24"/>
        </w:rPr>
        <w:t>H6（条件性）</w:t>
      </w:r>
      <w:r>
        <w:rPr>
          <w:rFonts w:ascii="Times New Roman" w:hAnsi="Times New Roman" w:eastAsia="宋体"/>
          <w:b w:val="0"/>
          <w:i w:val="0"/>
          <w:sz w:val="24"/>
        </w:rPr>
        <w:t>：内点最优的出现依赖回撤阈值的严格程度；当阈值放宽到使有效敞口随 σ* 持续增长（A2 失效）时，前沿恢复单调递增。</w:t>
      </w:r>
    </w:p>
    <w:p>
      <w:pPr>
        <w:spacing w:before="320" w:after="200" w:line="360" w:lineRule="auto"/>
        <w:jc w:val="center"/>
      </w:pPr>
      <w:r>
        <w:rPr>
          <w:rFonts w:ascii="Times New Roman" w:hAnsi="Times New Roman" w:eastAsia="黑体"/>
          <w:b/>
          <w:i w:val="0"/>
          <w:sz w:val="30"/>
        </w:rPr>
        <w:t>三、研究设计</w:t>
      </w:r>
    </w:p>
    <w:p>
      <w:pPr>
        <w:spacing w:before="240" w:after="100" w:line="360" w:lineRule="auto"/>
      </w:pPr>
      <w:r>
        <w:rPr>
          <w:rFonts w:ascii="Times New Roman" w:hAnsi="Times New Roman" w:eastAsia="黑体"/>
          <w:b/>
          <w:i w:val="0"/>
          <w:sz w:val="26"/>
        </w:rPr>
        <w:t>3.1 数据与资产池</w:t>
      </w:r>
    </w:p>
    <w:p>
      <w:pPr>
        <w:spacing w:before="0" w:after="60" w:line="360" w:lineRule="auto"/>
        <w:ind w:firstLine="480"/>
      </w:pPr>
      <w:r>
        <w:rPr>
          <w:rFonts w:ascii="Times New Roman" w:hAnsi="Times New Roman" w:eastAsia="宋体"/>
          <w:b w:val="0"/>
          <w:i w:val="0"/>
          <w:sz w:val="24"/>
        </w:rPr>
        <w:t>本文使用 AkShare 开源数据库获取中国境内上市 ETF 的日频行情，样本区间为2013年8月1日至2026年10月20日（共3210个交易日，13.2年）。起点由可得性决定：纳指ETF（2013-05-15上市）与黄金ETF（2013-07-29上市）自此才同时可得，提前起点会使多资产池不完整。</w:t>
      </w:r>
    </w:p>
    <w:p>
      <w:pPr>
        <w:spacing w:before="0" w:after="60" w:line="360" w:lineRule="auto"/>
        <w:ind w:firstLine="480"/>
      </w:pPr>
      <w:r>
        <w:rPr>
          <w:rFonts w:ascii="Times New Roman" w:hAnsi="Times New Roman" w:eastAsia="宋体"/>
          <w:b/>
          <w:i w:val="0"/>
          <w:sz w:val="24"/>
        </w:rPr>
        <w:t>资产池</w:t>
      </w:r>
      <w:r>
        <w:rPr>
          <w:rFonts w:ascii="Times New Roman" w:hAnsi="Times New Roman" w:eastAsia="宋体"/>
          <w:b w:val="0"/>
          <w:i w:val="0"/>
          <w:sz w:val="24"/>
        </w:rPr>
        <w:t>包括六类风险资产与两类安全资产：</w:t>
      </w:r>
    </w:p>
    <w:p>
      <w:pPr>
        <w:spacing w:before="0" w:after="60" w:line="360" w:lineRule="auto"/>
        <w:ind w:firstLine="480"/>
      </w:pPr>
      <w:r>
        <w:rPr>
          <w:rFonts w:ascii="Times New Roman" w:hAnsi="Times New Roman" w:eastAsia="宋体"/>
          <w:b w:val="0"/>
          <w:i w:val="0"/>
          <w:sz w:val="24"/>
        </w:rPr>
        <w:t>| 资产 | 代码 | 起始日 | 年化% | 波动% | 夏普 | 最大回撤% |</w:t>
      </w:r>
    </w:p>
    <w:p>
      <w:pPr>
        <w:spacing w:before="0" w:after="60" w:line="360" w:lineRule="auto"/>
        <w:ind w:firstLine="480"/>
      </w:pP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val="0"/>
          <w:i w:val="0"/>
          <w:sz w:val="24"/>
        </w:rPr>
        <w:t>| 红利ETF | 510880 | 2013-08 | 9.99 | 20.15 | 0.50 | −46.54 |</w:t>
      </w:r>
    </w:p>
    <w:p>
      <w:pPr>
        <w:spacing w:before="0" w:after="60" w:line="360" w:lineRule="auto"/>
        <w:ind w:firstLine="480"/>
      </w:pPr>
      <w:r>
        <w:rPr>
          <w:rFonts w:ascii="Times New Roman" w:hAnsi="Times New Roman" w:eastAsia="宋体"/>
          <w:b w:val="0"/>
          <w:i w:val="0"/>
          <w:sz w:val="24"/>
        </w:rPr>
        <w:t>| 沪深300ETF | 510300 | 2013-08 | 6.73 | 22.16 | 0.30 | −45.44 |</w:t>
      </w:r>
    </w:p>
    <w:p>
      <w:pPr>
        <w:spacing w:before="0" w:after="60" w:line="360" w:lineRule="auto"/>
        <w:ind w:firstLine="480"/>
      </w:pPr>
      <w:r>
        <w:rPr>
          <w:rFonts w:ascii="Times New Roman" w:hAnsi="Times New Roman" w:eastAsia="宋体"/>
          <w:b w:val="0"/>
          <w:i w:val="0"/>
          <w:sz w:val="24"/>
        </w:rPr>
        <w:t>| 中证500ETF | 510500 | 2013-08 | 7.62 | 28.07 | 0.27 | −65.77 |</w:t>
      </w:r>
    </w:p>
    <w:p>
      <w:pPr>
        <w:spacing w:before="0" w:after="60" w:line="360" w:lineRule="auto"/>
        <w:ind w:firstLine="480"/>
      </w:pPr>
      <w:r>
        <w:rPr>
          <w:rFonts w:ascii="Times New Roman" w:hAnsi="Times New Roman" w:eastAsia="宋体"/>
          <w:b w:val="0"/>
          <w:i w:val="0"/>
          <w:sz w:val="24"/>
        </w:rPr>
        <w:t>| 黄金ETF | 518880 | 2013-08 | 9.56 | 15.22 | 0.63 | −30.52 |</w:t>
      </w:r>
    </w:p>
    <w:p>
      <w:pPr>
        <w:spacing w:before="0" w:after="60" w:line="360" w:lineRule="auto"/>
        <w:ind w:firstLine="480"/>
      </w:pPr>
      <w:r>
        <w:rPr>
          <w:rFonts w:ascii="Times New Roman" w:hAnsi="Times New Roman" w:eastAsia="宋体"/>
          <w:b w:val="0"/>
          <w:i w:val="0"/>
          <w:sz w:val="24"/>
        </w:rPr>
        <w:t>| 纳指ETF | 513100 | 2013-08 | 21.13 | 21.58 | 0.98 | −28.49 |</w:t>
      </w:r>
    </w:p>
    <w:p>
      <w:pPr>
        <w:spacing w:before="0" w:after="60" w:line="360" w:lineRule="auto"/>
        <w:ind w:firstLine="480"/>
      </w:pPr>
      <w:r>
        <w:rPr>
          <w:rFonts w:ascii="Times New Roman" w:hAnsi="Times New Roman" w:eastAsia="宋体"/>
          <w:b w:val="0"/>
          <w:i w:val="0"/>
          <w:sz w:val="24"/>
        </w:rPr>
        <w:t>| 恒生ETF | 159920 | 2013-08 | 3.29 | 21.02 | 0.16 | −47.31 |</w:t>
      </w:r>
    </w:p>
    <w:p>
      <w:pPr>
        <w:spacing w:before="0" w:after="60" w:line="360" w:lineRule="auto"/>
        <w:ind w:firstLine="480"/>
      </w:pPr>
      <w:r>
        <w:rPr>
          <w:rFonts w:ascii="Times New Roman" w:hAnsi="Times New Roman" w:eastAsia="宋体"/>
          <w:b w:val="0"/>
          <w:i w:val="0"/>
          <w:sz w:val="24"/>
        </w:rPr>
        <w:t>| 国债ETF | 511010 | 2013-08 | 3.10 | 2.39 | 1.30 | −4.92 |</w:t>
      </w:r>
    </w:p>
    <w:p>
      <w:pPr>
        <w:spacing w:before="0" w:after="60" w:line="360" w:lineRule="auto"/>
        <w:ind w:firstLine="480"/>
      </w:pPr>
      <w:r>
        <w:rPr>
          <w:rFonts w:ascii="Times New Roman" w:hAnsi="Times New Roman" w:eastAsia="宋体"/>
          <w:b w:val="0"/>
          <w:i w:val="0"/>
          <w:sz w:val="24"/>
        </w:rPr>
        <w:t>| 现金 | — | — | 2.00 | 0.00 | — | 0.00 |</w:t>
      </w:r>
    </w:p>
    <w:p>
      <w:pPr>
        <w:spacing w:before="0" w:after="60" w:line="360" w:lineRule="auto"/>
        <w:ind w:firstLine="480"/>
      </w:pPr>
      <w:r>
        <w:rPr>
          <w:rFonts w:ascii="Times New Roman" w:hAnsi="Times New Roman" w:eastAsia="宋体"/>
          <w:b w:val="0"/>
          <w:i w:val="0"/>
          <w:sz w:val="24"/>
        </w:rPr>
        <w:t>相关性矩阵显示：黄金与所有其他资产的相关系数介于0.02—0.09之间，几乎完全独立；纳指与A股资产相关性0.21—0.30；A股内部（红利、沪深300、中证500）相关性0.69—0.84。跨资产分散的空间正来自这一相关结构。</w:t>
      </w:r>
    </w:p>
    <w:p>
      <w:pPr>
        <w:spacing w:before="0" w:after="60" w:line="360" w:lineRule="auto"/>
        <w:ind w:firstLine="480"/>
      </w:pPr>
      <w:r>
        <w:rPr>
          <w:rFonts w:ascii="Times New Roman" w:hAnsi="Times New Roman" w:eastAsia="宋体"/>
          <w:b/>
          <w:i w:val="0"/>
          <w:sz w:val="24"/>
        </w:rPr>
        <w:t>全收益序列的构建</w:t>
      </w:r>
      <w:r>
        <w:rPr>
          <w:rFonts w:ascii="Times New Roman" w:hAnsi="Times New Roman" w:eastAsia="宋体"/>
          <w:b w:val="0"/>
          <w:i w:val="0"/>
          <w:sz w:val="24"/>
        </w:rPr>
        <w:t>：红利ETF与沪深300ETF采用"原始价格 + 天天基金 F10 分红记录"手工重建全收益序列，以避免前复权数据在份额折算时产生的污染（详见3.4节）。其余资产采用前复权序列。</w:t>
      </w:r>
    </w:p>
    <w:p>
      <w:pPr>
        <w:spacing w:before="0" w:after="60" w:line="360" w:lineRule="auto"/>
        <w:ind w:firstLine="480"/>
      </w:pPr>
      <w:r>
        <w:rPr>
          <w:rFonts w:ascii="Times New Roman" w:hAnsi="Times New Roman" w:eastAsia="宋体"/>
          <w:b/>
          <w:i w:val="0"/>
          <w:sz w:val="24"/>
        </w:rPr>
        <w:t>资产池的事前选择规则。</w:t>
      </w:r>
      <w:r>
        <w:rPr>
          <w:rFonts w:ascii="Times New Roman" w:hAnsi="Times New Roman" w:eastAsia="宋体"/>
          <w:b w:val="0"/>
          <w:i w:val="0"/>
          <w:sz w:val="24"/>
        </w:rPr>
        <w:t xml:space="preserve"> 资产池的构成是本文最容易被质疑为"事后挑选"的环节，因此在此完整披露选择规则。该规则在任何回测结果产生之前即已确定，共六条。</w:t>
      </w:r>
    </w:p>
    <w:p>
      <w:pPr>
        <w:spacing w:before="0" w:after="60" w:line="360" w:lineRule="auto"/>
        <w:ind w:firstLine="480"/>
      </w:pPr>
      <w:r>
        <w:rPr>
          <w:rFonts w:ascii="Times New Roman" w:hAnsi="Times New Roman" w:eastAsia="宋体"/>
          <w:b w:val="0"/>
          <w:i w:val="0"/>
          <w:sz w:val="24"/>
        </w:rPr>
        <w:t>时间上，标的必须在2013年8月1日前已上市交易——样本起点由纳指ETF与黄金ETF的上市日共同决定，二者缺一则多资产池不完整。品类上，要求池内至少覆盖境内权益（且须同时含大盘与中小盘）、境外权益（发达市场与新兴/离岸市场各一）、商品、境内利率四类；这一约束来自"跨市场分散"这一研究目标本身，而非为了获得更好的回测结果。其余四条为：</w:t>
      </w:r>
    </w:p>
    <w:p>
      <w:pPr>
        <w:spacing w:before="0" w:after="60" w:line="360" w:lineRule="auto"/>
        <w:ind w:firstLine="480"/>
      </w:pPr>
      <w:r>
        <w:rPr>
          <w:rFonts w:ascii="Times New Roman" w:hAnsi="Times New Roman" w:eastAsia="宋体"/>
          <w:b w:val="0"/>
          <w:i w:val="0"/>
          <w:sz w:val="24"/>
        </w:rPr>
        <w:t>1. 品种代表性。每个品类内选取规模与成交额居首的宽基ETF，不使用行业、主题或策略类ETF。</w:t>
      </w:r>
    </w:p>
    <w:p>
      <w:pPr>
        <w:spacing w:before="0" w:after="60" w:line="360" w:lineRule="auto"/>
        <w:ind w:firstLine="480"/>
      </w:pPr>
      <w:r>
        <w:rPr>
          <w:rFonts w:ascii="Times New Roman" w:hAnsi="Times New Roman" w:eastAsia="宋体"/>
          <w:b w:val="0"/>
          <w:i w:val="0"/>
          <w:sz w:val="24"/>
        </w:rPr>
        <w:t>2. 无杠杆、无分级。排除分级基金、杠杆与反向ETF，使"Ē=1"这一约束 exogenous 地由投资者处境而非产品结构决定。</w:t>
      </w:r>
    </w:p>
    <w:p>
      <w:pPr>
        <w:spacing w:before="0" w:after="60" w:line="360" w:lineRule="auto"/>
        <w:ind w:firstLine="480"/>
      </w:pPr>
      <w:r>
        <w:rPr>
          <w:rFonts w:ascii="Times New Roman" w:hAnsi="Times New Roman" w:eastAsia="宋体"/>
          <w:b w:val="0"/>
          <w:i w:val="0"/>
          <w:sz w:val="24"/>
        </w:rPr>
        <w:t>3. 排除个股与横截面选股，全部标的均为指数型ETF。这对应第2.3节的本土证据：月度横截面动量在中国不显著，引入个股只会把横截面 alpha 混入对风险 overlay 的评估。</w:t>
      </w:r>
    </w:p>
    <w:p>
      <w:pPr>
        <w:spacing w:before="0" w:after="60" w:line="360" w:lineRule="auto"/>
        <w:ind w:firstLine="480"/>
      </w:pPr>
      <w:r>
        <w:rPr>
          <w:rFonts w:ascii="Times New Roman" w:hAnsi="Times New Roman" w:eastAsia="宋体"/>
          <w:b w:val="0"/>
          <w:i w:val="0"/>
          <w:sz w:val="24"/>
        </w:rPr>
        <w:t>4. 不做事后剔除。池内不包含任何"因回测表现而被加入"的标的；反之，表现最强的纳指ETF亦不因表现好而被剔除，其对结论的影响由第6.1节的剔除检验单独处理。</w:t>
      </w:r>
    </w:p>
    <w:p>
      <w:pPr>
        <w:spacing w:before="0" w:after="60" w:line="360" w:lineRule="auto"/>
        <w:ind w:firstLine="480"/>
      </w:pPr>
      <w:r>
        <w:rPr>
          <w:rFonts w:ascii="Times New Roman" w:hAnsi="Times New Roman" w:eastAsia="宋体"/>
          <w:b w:val="0"/>
          <w:i w:val="0"/>
          <w:sz w:val="24"/>
        </w:rPr>
        <w:t>需要限定的是，这一规则追求的是代表性，而非最优性：本文不声称该六资产池是任何意义上的最优组合，只声称它是一个品类完备、流动性可交易、时间上可得的最小分散化组合。第6.1节对全部六类资产逐一做剔除检验，即是针对"结论是否由资产池选择驱动"这一质疑的直接回应。</w:t>
      </w:r>
    </w:p>
    <w:p>
      <w:pPr>
        <w:spacing w:before="240" w:after="100" w:line="360" w:lineRule="auto"/>
      </w:pPr>
      <w:r>
        <w:rPr>
          <w:rFonts w:ascii="Times New Roman" w:hAnsi="Times New Roman" w:eastAsia="黑体"/>
          <w:b/>
          <w:i w:val="0"/>
          <w:sz w:val="26"/>
        </w:rPr>
        <w:t>3.2 信号构造</w:t>
      </w:r>
    </w:p>
    <w:p>
      <w:pPr>
        <w:spacing w:before="0" w:after="60" w:line="360" w:lineRule="auto"/>
        <w:ind w:firstLine="480"/>
      </w:pPr>
      <w:r>
        <w:rPr>
          <w:rFonts w:ascii="Times New Roman" w:hAnsi="Times New Roman" w:eastAsia="宋体"/>
          <w:b w:val="0"/>
          <w:i w:val="0"/>
          <w:sz w:val="24"/>
        </w:rPr>
        <w:t>遵照"因子宜少不宜多"的原则，本文仅使用三个信号：</w:t>
      </w:r>
    </w:p>
    <w:p>
      <w:pPr>
        <w:spacing w:before="0" w:after="60" w:line="360" w:lineRule="auto"/>
        <w:ind w:firstLine="480"/>
      </w:pPr>
      <w:r>
        <w:rPr>
          <w:rFonts w:ascii="Times New Roman" w:hAnsi="Times New Roman" w:eastAsia="宋体"/>
          <w:b/>
          <w:i w:val="0"/>
          <w:sz w:val="24"/>
        </w:rPr>
        <w:t>信号1：趋势（各资产独立）。</w:t>
      </w:r>
      <w:r>
        <w:rPr>
          <w:rFonts w:ascii="Times New Roman" w:hAnsi="Times New Roman" w:eastAsia="宋体"/>
          <w:b w:val="0"/>
          <w:i w:val="0"/>
          <w:sz w:val="24"/>
        </w:rPr>
        <w:t xml:space="preserve"> s_{i,t} = 1{P_{i,t} &gt; MA200_{i,t}}。资产跌破自身200日均线即空仓，资金转入国债ETF，对应实务中的"绝对动量"规则。</w:t>
      </w:r>
    </w:p>
    <w:p>
      <w:pPr>
        <w:spacing w:before="0" w:after="60" w:line="360" w:lineRule="auto"/>
        <w:ind w:firstLine="480"/>
      </w:pPr>
      <w:r>
        <w:rPr>
          <w:rFonts w:ascii="Times New Roman" w:hAnsi="Times New Roman" w:eastAsia="宋体"/>
          <w:b/>
          <w:i w:val="0"/>
          <w:sz w:val="24"/>
        </w:rPr>
        <w:t>信号2：沪深300的五年价格分位。</w:t>
      </w:r>
      <w:r>
        <w:rPr>
          <w:rFonts w:ascii="Times New Roman" w:hAnsi="Times New Roman" w:eastAsia="宋体"/>
          <w:b w:val="0"/>
          <w:i w:val="0"/>
          <w:sz w:val="24"/>
        </w:rPr>
        <w:t xml:space="preserve"> 以1250个交易日为窗口计算 (P − min)/(max − min)，用于调节A股资产的权重：分位&lt;30%时A股权重×1.25（洼地加仓），分位&gt;80%时×0.45（炒高收缩）。之所以用价格分位而非PE，原因有二：沪深300的PE数据在公开渠道缺失严重、口径不一；而价格分位在理念上契合"价格已包含一切"的半强有效市场观。</w:t>
      </w:r>
    </w:p>
    <w:p>
      <w:pPr>
        <w:spacing w:before="0" w:after="60" w:line="360" w:lineRule="auto"/>
        <w:ind w:firstLine="480"/>
      </w:pPr>
      <w:r>
        <w:rPr>
          <w:rFonts w:ascii="Times New Roman" w:hAnsi="Times New Roman" w:eastAsia="宋体"/>
          <w:b/>
          <w:i w:val="0"/>
          <w:sz w:val="24"/>
        </w:rPr>
        <w:t>信号3：M1-M2剪刀差。</w:t>
      </w:r>
      <w:r>
        <w:rPr>
          <w:rFonts w:ascii="Times New Roman" w:hAnsi="Times New Roman" w:eastAsia="宋体"/>
          <w:b w:val="0"/>
          <w:i w:val="0"/>
          <w:sz w:val="24"/>
        </w:rPr>
        <w:t xml:space="preserve"> 来自央行月度数据，日频前向填充。剪刀差&lt;−10时，A股权重再打六折，用以刻画"场外资金"状况。</w:t>
      </w:r>
    </w:p>
    <w:p>
      <w:pPr>
        <w:spacing w:before="240" w:after="100" w:line="360" w:lineRule="auto"/>
      </w:pPr>
      <w:r>
        <w:rPr>
          <w:rFonts w:ascii="Times New Roman" w:hAnsi="Times New Roman" w:eastAsia="黑体"/>
          <w:b/>
          <w:i w:val="0"/>
          <w:sz w:val="26"/>
        </w:rPr>
        <w:t>3.3 两层风控的形式化</w:t>
      </w:r>
    </w:p>
    <w:p>
      <w:pPr>
        <w:spacing w:before="0" w:after="60" w:line="360" w:lineRule="auto"/>
        <w:ind w:firstLine="480"/>
      </w:pPr>
      <w:r>
        <w:rPr>
          <w:rFonts w:ascii="Times New Roman" w:hAnsi="Times New Roman" w:eastAsia="宋体"/>
          <w:b/>
          <w:i w:val="0"/>
          <w:sz w:val="24"/>
        </w:rPr>
        <w:t>第一层（月度，波动率目标）：</w:t>
      </w:r>
    </w:p>
    <w:p>
      <w:pPr>
        <w:spacing w:before="0" w:after="60" w:line="360" w:lineRule="auto"/>
        <w:ind w:firstLine="480"/>
      </w:pPr>
      <w:r>
        <w:rPr>
          <w:rFonts w:ascii="Times New Roman" w:hAnsi="Times New Roman" w:eastAsia="宋体"/>
          <w:b w:val="0"/>
          <w:i w:val="0"/>
          <w:sz w:val="24"/>
        </w:rPr>
        <w:t>在每月首个交易日，计算入选资产（趋势信号为1者）的逆波动权重 w_i ∝ 1/σ̂_i，经A股信号调节后归一化，再乘以总权益仓：</w:t>
      </w:r>
    </w:p>
    <w:p>
      <w:pPr>
        <w:spacing w:before="160" w:after="160" w:line="240" w:lineRule="auto"/>
        <w:jc w:val="center"/>
      </w:pPr>
      <m:oMathPara>
        <m:box>
          <m:e>
            <m:sSub>
              <m:e>
                <m:r>
                  <m:rPr>
                    <m:sty m:val="i"/>
                  </m:rPr>
                  <m:t>E</m:t>
                </m:r>
              </m:e>
              <m:sub>
                <m:r>
                  <m:rPr>
                    <m:sty m:val="i"/>
                  </m:rPr>
                  <m:t>t</m:t>
                </m:r>
              </m:sub>
            </m:sSub>
            <m:r>
              <m:rPr>
                <m:sty m:val="p"/>
              </m:rPr>
              <m:t>=</m:t>
            </m:r>
            <m:r>
              <m:rPr>
                <m:sty m:val="p"/>
              </m:rPr>
              <m:t>min</m:t>
            </m:r>
            <m:box>
              <m:e>
                <m:d>
                  <m:dPr>
                    <m:begChr m:val="("/>
                    <m:endChr m:val=")"/>
                  </m:dPr>
                  <m:e>
                    <m:box>
                      <m:e>
                        <m:f>
                          <m:num>
                            <m:box>
                              <m:e>
                                <m:sSup>
                                  <m:e>
                                    <m:r>
                                      <m:rPr>
                                        <m:sty m:val="i"/>
                                      </m:rPr>
                                      <m:t>σ</m:t>
                                    </m:r>
                                  </m:e>
                                  <m:sup>
                                    <m:r>
                                      <m:rPr>
                                        <m:sty m:val="p"/>
                                      </m:rPr>
                                      <m:t>*</m:t>
                                    </m:r>
                                  </m:sup>
                                </m:sSup>
                              </m:e>
                            </m:box>
                          </m:num>
                          <m:den>
                            <m:box>
                              <m:e>
                                <m:sSub>
                                  <m:e>
                                    <m:limUpp>
                                      <m:e>
                                        <m:box>
                                          <m:e>
                                            <m:r>
                                              <m:rPr>
                                                <m:sty m:val="i"/>
                                              </m:rPr>
                                              <m:t>σ</m:t>
                                            </m:r>
                                          </m:e>
                                        </m:box>
                                      </m:e>
                                      <m:lim>
                                        <m:r>
                                          <m:rPr>
                                            <m:sty m:val="p"/>
                                          </m:rPr>
                                          <m:t>^</m:t>
                                        </m:r>
                                      </m:lim>
                                    </m:limUpp>
                                  </m:e>
                                  <m:sub>
                                    <m:box>
                                      <m:e>
                                        <m:r>
                                          <m:rPr>
                                            <m:sty m:val="i"/>
                                          </m:rPr>
                                          <m:t>p</m:t>
                                        </m:r>
                                        <m:r>
                                          <m:rPr>
                                            <m:sty m:val="p"/>
                                          </m:rPr>
                                          <m:t>,</m:t>
                                        </m:r>
                                        <m:r>
                                          <m:rPr>
                                            <m:sty m:val="i"/>
                                          </m:rPr>
                                          <m:t>t</m:t>
                                        </m:r>
                                      </m:e>
                                    </m:box>
                                  </m:sub>
                                </m:sSub>
                              </m:e>
                            </m:box>
                          </m:den>
                        </m:f>
                        <m:r>
                          <m:rPr>
                            <m:sty m:val="p"/>
                          </m:rPr>
                          <m:t>,</m:t>
                        </m:r>
                        <m:r>
                          <m:t/>
                        </m:r>
                        <m:groupChr>
                          <m:groupChrPr>
                            <m:chr m:val="¯"/>
                            <m:pos m:val="top"/>
                          </m:groupChrPr>
                          <m:e>
                            <m:box>
                              <m:e>
                                <m:r>
                                  <m:rPr>
                                    <m:sty m:val="i"/>
                                  </m:rPr>
                                  <m:t>E</m:t>
                                </m:r>
                              </m:e>
                            </m:box>
                          </m:e>
                        </m:groupChr>
                      </m:e>
                    </m:box>
                  </m:e>
                </m:d>
              </m:e>
            </m:box>
            <m:r>
              <m:rPr>
                <m:sty m:val="p"/>
              </m:rPr>
              <m:t>,</m:t>
            </m:r>
            <m:r>
              <m:t/>
            </m:r>
            <m:sSub>
              <m:e>
                <m:limUpp>
                  <m:e>
                    <m:box>
                      <m:e>
                        <m:r>
                          <m:rPr>
                            <m:sty m:val="i"/>
                          </m:rPr>
                          <m:t>σ</m:t>
                        </m:r>
                      </m:e>
                    </m:box>
                  </m:e>
                  <m:lim>
                    <m:r>
                      <m:rPr>
                        <m:sty m:val="p"/>
                      </m:rPr>
                      <m:t>^</m:t>
                    </m:r>
                  </m:lim>
                </m:limUpp>
              </m:e>
              <m:sub>
                <m:box>
                  <m:e>
                    <m:r>
                      <m:rPr>
                        <m:sty m:val="i"/>
                      </m:rPr>
                      <m:t>p</m:t>
                    </m:r>
                    <m:r>
                      <m:rPr>
                        <m:sty m:val="p"/>
                      </m:rPr>
                      <m:t>,</m:t>
                    </m:r>
                    <m:r>
                      <m:rPr>
                        <m:sty m:val="i"/>
                      </m:rPr>
                      <m:t>t</m:t>
                    </m:r>
                  </m:e>
                </m:box>
              </m:sub>
            </m:sSub>
            <m:r>
              <m:rPr>
                <m:sty m:val="p"/>
              </m:rPr>
              <m:t>=</m:t>
            </m:r>
            <m:rad>
              <m:e>
                <m:box>
                  <m:e>
                    <m:box>
                      <m:e>
                        <m:sSup>
                          <m:e>
                            <m:r>
                              <m:rPr>
                                <m:sty m:val="i"/>
                              </m:rPr>
                              <m:t>w</m:t>
                            </m:r>
                          </m:e>
                          <m:sup>
                            <m:r>
                              <m:rPr>
                                <m:sty m:val="p"/>
                              </m:rPr>
                              <m:t>⊤</m:t>
                            </m:r>
                          </m:sup>
                        </m:sSup>
                        <m:sSub>
                          <m:e>
                            <m:limUpp>
                              <m:e>
                                <m:box>
                                  <m:e>
                                    <m:r>
                                      <m:rPr>
                                        <m:sty m:val="i"/>
                                      </m:rPr>
                                      <m:t>Σ</m:t>
                                    </m:r>
                                  </m:e>
                                </m:box>
                              </m:e>
                              <m:lim>
                                <m:r>
                                  <m:rPr>
                                    <m:sty m:val="p"/>
                                  </m:rPr>
                                  <m:t>^</m:t>
                                </m:r>
                              </m:lim>
                            </m:limUpp>
                          </m:e>
                          <m:sub>
                            <m:r>
                              <m:rPr>
                                <m:sty m:val="i"/>
                              </m:rPr>
                              <m:t>t</m:t>
                            </m:r>
                          </m:sub>
                        </m:sSub>
                        <m:r>
                          <m:rPr>
                            <m:sty m:val="i"/>
                          </m:rPr>
                          <m:t>w</m:t>
                        </m:r>
                      </m:e>
                    </m:box>
                  </m:e>
                </m:box>
              </m:e>
            </m:rad>
          </m:e>
        </m:box>
      </m:oMathPara>
    </w:p>
    <w:p>
      <w:pPr>
        <w:spacing w:before="0" w:after="60" w:line="360" w:lineRule="auto"/>
        <w:ind w:firstLine="480"/>
      </w:pPr>
      <w:r>
        <w:rPr>
          <w:rFonts w:ascii="Times New Roman" w:hAnsi="Times New Roman" w:eastAsia="宋体"/>
          <w:b w:val="0"/>
          <w:i w:val="0"/>
          <w:sz w:val="24"/>
        </w:rPr>
        <w:t>其中 Σ̂_t 用过去250个交易日的协方差矩阵估计。</w:t>
      </w:r>
    </w:p>
    <w:p>
      <w:pPr>
        <w:spacing w:before="0" w:after="60" w:line="360" w:lineRule="auto"/>
        <w:ind w:firstLine="480"/>
      </w:pPr>
      <w:r>
        <w:rPr>
          <w:rFonts w:ascii="Times New Roman" w:hAnsi="Times New Roman" w:eastAsia="宋体"/>
          <w:b/>
          <w:i w:val="0"/>
          <w:sz w:val="24"/>
        </w:rPr>
        <w:t>第二层（日度，回撤控制）：</w:t>
      </w:r>
    </w:p>
    <w:p>
      <w:pPr>
        <w:spacing w:before="0" w:after="60" w:line="360" w:lineRule="auto"/>
        <w:ind w:firstLine="480"/>
      </w:pPr>
      <w:r>
        <w:rPr>
          <w:rFonts w:ascii="Times New Roman" w:hAnsi="Times New Roman" w:eastAsia="宋体"/>
          <w:b w:val="0"/>
          <w:i w:val="0"/>
          <w:sz w:val="24"/>
        </w:rPr>
        <w:t>每日计算组合水下深度 D_t，按滞回（hysteresis）规则确定档位：</w:t>
      </w:r>
    </w:p>
    <w:p>
      <w:pPr>
        <w:spacing w:before="0" w:after="60" w:line="360" w:lineRule="auto"/>
        <w:ind w:firstLine="480"/>
      </w:pPr>
      <w:r>
        <w:rPr>
          <w:rFonts w:ascii="Times New Roman" w:hAnsi="Times New Roman" w:eastAsia="宋体"/>
          <w:b w:val="0"/>
          <w:i w:val="0"/>
          <w:sz w:val="24"/>
        </w:rPr>
        <w:t>| 档位 | 触发（D_t ≤） | 退出（D_t &gt;） | 仓位乘子 φ |</w:t>
      </w:r>
    </w:p>
    <w:p>
      <w:pPr>
        <w:spacing w:before="0" w:after="60" w:line="360" w:lineRule="auto"/>
        <w:ind w:firstLine="480"/>
      </w:pPr>
      <w:r>
        <w:rPr>
          <w:rFonts w:ascii="Times New Roman" w:hAnsi="Times New Roman" w:eastAsia="宋体"/>
          <w:b w:val="0"/>
          <w:i w:val="0"/>
          <w:sz w:val="24"/>
        </w:rPr>
        <w:t>|---|---|---|---|</w:t>
      </w:r>
    </w:p>
    <w:p>
      <w:pPr>
        <w:spacing w:before="0" w:after="60" w:line="360" w:lineRule="auto"/>
        <w:ind w:firstLine="480"/>
      </w:pPr>
      <w:r>
        <w:rPr>
          <w:rFonts w:ascii="Times New Roman" w:hAnsi="Times New Roman" w:eastAsia="宋体"/>
          <w:b w:val="0"/>
          <w:i w:val="0"/>
          <w:sz w:val="24"/>
        </w:rPr>
        <w:t>| 1 | −1.5% | −0.5% | 0.70 |</w:t>
      </w:r>
    </w:p>
    <w:p>
      <w:pPr>
        <w:spacing w:before="0" w:after="60" w:line="360" w:lineRule="auto"/>
        <w:ind w:firstLine="480"/>
      </w:pPr>
      <w:r>
        <w:rPr>
          <w:rFonts w:ascii="Times New Roman" w:hAnsi="Times New Roman" w:eastAsia="宋体"/>
          <w:b w:val="0"/>
          <w:i w:val="0"/>
          <w:sz w:val="24"/>
        </w:rPr>
        <w:t>| 2 | −2.5% | −1.0% | 0.40 |</w:t>
      </w:r>
    </w:p>
    <w:p>
      <w:pPr>
        <w:spacing w:before="0" w:after="60" w:line="360" w:lineRule="auto"/>
        <w:ind w:firstLine="480"/>
      </w:pPr>
      <w:r>
        <w:rPr>
          <w:rFonts w:ascii="Times New Roman" w:hAnsi="Times New Roman" w:eastAsia="宋体"/>
          <w:b w:val="0"/>
          <w:i w:val="0"/>
          <w:sz w:val="24"/>
        </w:rPr>
        <w:t>| 3 | −3.5% | −1.8% | 0.15 |</w:t>
      </w:r>
    </w:p>
    <w:p>
      <w:pPr>
        <w:spacing w:before="0" w:after="60" w:line="360" w:lineRule="auto"/>
        <w:ind w:firstLine="480"/>
      </w:pPr>
      <w:r>
        <w:rPr>
          <w:rFonts w:ascii="Times New Roman" w:hAnsi="Times New Roman" w:eastAsia="宋体"/>
          <w:b w:val="0"/>
          <w:i w:val="0"/>
          <w:sz w:val="24"/>
        </w:rPr>
        <w:t>进/出阈值取不同的值，是一个关键的工程细节：若二者相同，策略会在阈值附近反复横跳，产生大量无效换手。这一"滞回带"设计在实务中被广泛采用，但学术文献鲜有明确报告。</w:t>
      </w:r>
    </w:p>
    <w:p>
      <w:pPr>
        <w:spacing w:before="0" w:after="60" w:line="360" w:lineRule="auto"/>
        <w:ind w:firstLine="480"/>
      </w:pPr>
      <w:r>
        <w:rPr>
          <w:rFonts w:ascii="Times New Roman" w:hAnsi="Times New Roman" w:eastAsia="宋体"/>
          <w:b/>
          <w:i w:val="0"/>
          <w:sz w:val="24"/>
        </w:rPr>
        <w:t>有效敞口</w:t>
      </w:r>
      <w:r>
        <w:rPr>
          <w:rFonts w:ascii="Times New Roman" w:hAnsi="Times New Roman" w:eastAsia="宋体"/>
          <w:b w:val="0"/>
          <w:i w:val="0"/>
          <w:sz w:val="24"/>
        </w:rPr>
        <w:t>：e_t = E_t · φ_t，其余配置于国债ETF，现金恒定5%。</w:t>
      </w:r>
    </w:p>
    <w:p>
      <w:pPr>
        <w:spacing w:before="240" w:after="100" w:line="360" w:lineRule="auto"/>
      </w:pPr>
      <w:r>
        <w:rPr>
          <w:rFonts w:ascii="Times New Roman" w:hAnsi="Times New Roman" w:eastAsia="黑体"/>
          <w:b/>
          <w:i w:val="0"/>
          <w:sz w:val="26"/>
        </w:rPr>
        <w:t>3.4 数据处理：两处需要校正的陷阱</w:t>
      </w:r>
    </w:p>
    <w:p>
      <w:pPr>
        <w:spacing w:before="0" w:after="60" w:line="360" w:lineRule="auto"/>
        <w:ind w:firstLine="480"/>
      </w:pPr>
      <w:r>
        <w:rPr>
          <w:rFonts w:ascii="Times New Roman" w:hAnsi="Times New Roman" w:eastAsia="宋体"/>
          <w:b/>
          <w:i w:val="0"/>
          <w:sz w:val="24"/>
        </w:rPr>
        <w:t>陷阱一：份额折算造成的假跳变。</w:t>
      </w:r>
      <w:r>
        <w:rPr>
          <w:rFonts w:ascii="Times New Roman" w:hAnsi="Times New Roman" w:eastAsia="宋体"/>
          <w:b w:val="0"/>
          <w:i w:val="0"/>
          <w:sz w:val="24"/>
        </w:rPr>
        <w:t xml:space="preserve"> 场内ETF的份额折算（拆分或合并）会在价格序列中产生巨大的假跳变。本文扫描发现：纳斯达克100 ETF（513100）在2022-01-14出现单日−80.45%，中证500 ETF（510500）在2015-04-15出现单日+248.55%。若不校正，纳指ETF的回测年化将从校正后的21.03%被低估至6.68%（偏差14.35个百分点；该校正检验的序列口径见第6.4节表16及其表注，与表1前复权全序列口径下的21.13%相差0.1个百分点），中证500 ETF则从7.62%被高估至16.42%。本文改用前复权序列并逐一扫描 |日收益|&gt;15% 的异常点，校正后全部资产的异常点数为0；使用中国 ETF 数据时，这一扫描不是可选的质检环节，而是估计年化收益之前的必要步骤。</w:t>
      </w:r>
    </w:p>
    <w:p>
      <w:pPr>
        <w:spacing w:before="0" w:after="60" w:line="360" w:lineRule="auto"/>
        <w:ind w:firstLine="480"/>
      </w:pPr>
      <w:r>
        <w:rPr>
          <w:rFonts w:ascii="Times New Roman" w:hAnsi="Times New Roman" w:eastAsia="宋体"/>
          <w:b/>
          <w:i w:val="0"/>
          <w:sz w:val="24"/>
        </w:rPr>
        <w:t>陷阱二：前复权序列的污染。</w:t>
      </w:r>
      <w:r>
        <w:rPr>
          <w:rFonts w:ascii="Times New Roman" w:hAnsi="Times New Roman" w:eastAsia="宋体"/>
          <w:b w:val="0"/>
          <w:i w:val="0"/>
          <w:sz w:val="24"/>
        </w:rPr>
        <w:t xml:space="preserve"> 红利ETF（510880）在部分数据源的前复权序列中，因份额折算与分红的复合作用，2013—2014年段出现单日−28%的假跌，导致"满仓红利最大回撤−67%"的荒谬结论。本文的处理是取未复权的原始价格，叠加从天天基金 F10 页面获取的分红记录（除息日、每份金额）手工重建全收益序列。</w:t>
      </w:r>
    </w:p>
    <w:p>
      <w:pPr>
        <w:spacing w:before="240" w:after="100" w:line="360" w:lineRule="auto"/>
      </w:pPr>
      <w:r>
        <w:rPr>
          <w:rFonts w:ascii="Times New Roman" w:hAnsi="Times New Roman" w:eastAsia="黑体"/>
          <w:b/>
          <w:i w:val="0"/>
          <w:sz w:val="26"/>
        </w:rPr>
        <w:t>3.5 绩效评价指标</w:t>
      </w:r>
    </w:p>
    <w:p>
      <w:pPr>
        <w:spacing w:before="0" w:after="60" w:line="360" w:lineRule="auto"/>
        <w:ind w:firstLine="480"/>
      </w:pPr>
      <w:r>
        <w:rPr>
          <w:rFonts w:ascii="Times New Roman" w:hAnsi="Times New Roman" w:eastAsia="宋体"/>
          <w:b w:val="0"/>
          <w:i w:val="0"/>
          <w:sz w:val="24"/>
        </w:rPr>
        <w:t>年化收益、年化波动、夏普比率、最大回撤（MDD）、卡玛比率（年化/MDD）、年度胜率。所有结果均已扣除交易成本（单边万分之三，对应ETF场内交易的佣金与冲击成本），扣减时点与口径见下方统一声明。</w:t>
      </w:r>
    </w:p>
    <w:p>
      <w:pPr>
        <w:spacing w:before="0" w:after="60" w:line="360" w:lineRule="auto"/>
        <w:ind w:firstLine="480"/>
      </w:pPr>
      <w:r>
        <w:rPr>
          <w:rFonts w:ascii="Times New Roman" w:hAnsi="Times New Roman" w:eastAsia="宋体"/>
          <w:b/>
          <w:i w:val="0"/>
          <w:sz w:val="24"/>
        </w:rPr>
        <w:t>基准参数的选取说明</w:t>
      </w:r>
      <w:r>
        <w:rPr>
          <w:rFonts w:ascii="Times New Roman" w:hAnsi="Times New Roman" w:eastAsia="宋体"/>
          <w:b w:val="0"/>
          <w:i w:val="0"/>
          <w:sz w:val="24"/>
        </w:rPr>
        <w:t>：本文主结果采用目标波动 σ*=5.5%、趋势窗口 MA200、回撤控制严格档。该参数并非事先调优所得，而是第6.3节参数平原（15个邻近参数组合）中的一个内点，且在所有子样本与资产池设定下表现一致。</w:t>
      </w:r>
    </w:p>
    <w:p>
      <w:pPr>
        <w:spacing w:before="0" w:after="60" w:line="360" w:lineRule="auto"/>
        <w:ind w:firstLine="480"/>
      </w:pPr>
      <w:r>
        <w:rPr>
          <w:rFonts w:ascii="Times New Roman" w:hAnsi="Times New Roman" w:eastAsia="宋体"/>
          <w:b/>
          <w:i w:val="0"/>
          <w:sz w:val="24"/>
        </w:rPr>
        <w:t>计量口径的统一声明。</w:t>
      </w:r>
      <w:r>
        <w:rPr>
          <w:rFonts w:ascii="Times New Roman" w:hAnsi="Times New Roman" w:eastAsia="宋体"/>
          <w:b w:val="0"/>
          <w:i w:val="0"/>
          <w:sz w:val="24"/>
        </w:rPr>
        <w:t xml:space="preserve"> 全文结果——主结果、机制检验、稳健性检验与约束成本扫描——共用一套口径，任何例外均在出现处单独标注：</w:t>
      </w:r>
    </w:p>
    <w:p>
      <w:pPr>
        <w:spacing w:before="0" w:after="60" w:line="360" w:lineRule="auto"/>
        <w:ind w:firstLine="480"/>
      </w:pPr>
      <w:r>
        <w:rPr>
          <w:rFonts w:ascii="Times New Roman" w:hAnsi="Times New Roman" w:eastAsia="宋体"/>
          <w:b w:val="0"/>
          <w:i w:val="0"/>
          <w:sz w:val="24"/>
        </w:rPr>
        <w:t>1. 交易成本按单边万分之三计，仅在月度调仓日按换手金额扣减（|Δw| 之和 × 0.0003）；日频的回撤控制档位切换发生在同一资产内部、不产生额外换手，故不重复计费。第6.7节另就万六与万十二做了敏感性检验。</w:t>
      </w:r>
    </w:p>
    <w:p>
      <w:pPr>
        <w:spacing w:before="0" w:after="60" w:line="360" w:lineRule="auto"/>
        <w:ind w:firstLine="480"/>
      </w:pPr>
      <w:r>
        <w:rPr>
          <w:rFonts w:ascii="Times New Roman" w:hAnsi="Times New Roman" w:eastAsia="宋体"/>
          <w:b w:val="0"/>
          <w:i w:val="0"/>
          <w:sz w:val="24"/>
        </w:rPr>
        <w:t>2. 无风险利率。现金收益率固定为年化2%，夏普比率以此为基准，分母取组合总波动（含现金与国债部分）。改以国债ETF的样本内实际收益（3.10%）为无风险利率会使本文策略的夏普比率相应下降，故第4.4节同时报告了策略与国债ETF的直接对比（ΔSharpe=+0.116，p=0.774）。</w:t>
      </w:r>
    </w:p>
    <w:p>
      <w:pPr>
        <w:spacing w:before="0" w:after="60" w:line="360" w:lineRule="auto"/>
        <w:ind w:firstLine="480"/>
      </w:pPr>
      <w:r>
        <w:rPr>
          <w:rFonts w:ascii="Times New Roman" w:hAnsi="Times New Roman" w:eastAsia="宋体"/>
          <w:b w:val="0"/>
          <w:i w:val="0"/>
          <w:sz w:val="24"/>
        </w:rPr>
        <w:t>3. 融资成本仅在 Ē=2 情形下适用，按年化3%对超出自有资金的部分逐日计提，与交易成本并列扣除。</w:t>
      </w:r>
    </w:p>
    <w:p>
      <w:pPr>
        <w:spacing w:before="0" w:after="60" w:line="360" w:lineRule="auto"/>
        <w:ind w:firstLine="480"/>
      </w:pPr>
      <w:r>
        <w:rPr>
          <w:rFonts w:ascii="Times New Roman" w:hAnsi="Times New Roman" w:eastAsia="宋体"/>
          <w:b w:val="0"/>
          <w:i w:val="0"/>
          <w:sz w:val="24"/>
        </w:rPr>
        <w:t>4. 年化收益取几何年化，即 (NAV_T/NAV_0)^(252/T) − 1；年化波动为日收益标准差 × √252。全文一致，不做算术年化与几何年化的混用。</w:t>
      </w:r>
    </w:p>
    <w:p>
      <w:pPr>
        <w:spacing w:before="0" w:after="60" w:line="360" w:lineRule="auto"/>
        <w:ind w:firstLine="480"/>
      </w:pPr>
      <w:r>
        <w:rPr>
          <w:rFonts w:ascii="Times New Roman" w:hAnsi="Times New Roman" w:eastAsia="宋体"/>
          <w:b w:val="0"/>
          <w:i w:val="0"/>
          <w:sz w:val="24"/>
        </w:rPr>
        <w:t>5. 引擎一致性。主结果（第4节）与机制检验（第5节）使用两套代码，前者输出净值、后者输出日频敞口序列。本文已逐日核对两套引擎在同一参数下的净值序列，3210个交易日完全一致（最大绝对偏差0），确保机制变量与主结果同源。</w:t>
      </w:r>
    </w:p>
    <w:p>
      <w:pPr>
        <w:spacing w:before="320" w:after="200" w:line="360" w:lineRule="auto"/>
        <w:jc w:val="center"/>
      </w:pPr>
      <w:r>
        <w:rPr>
          <w:rFonts w:ascii="Times New Roman" w:hAnsi="Times New Roman" w:eastAsia="黑体"/>
          <w:b/>
          <w:i w:val="0"/>
          <w:sz w:val="30"/>
        </w:rPr>
        <w:t>四、实证结果</w:t>
      </w:r>
    </w:p>
    <w:p>
      <w:pPr>
        <w:spacing w:before="240" w:after="100" w:line="360" w:lineRule="auto"/>
      </w:pPr>
      <w:r>
        <w:rPr>
          <w:rFonts w:ascii="Times New Roman" w:hAnsi="Times New Roman" w:eastAsia="黑体"/>
          <w:b/>
          <w:i w:val="0"/>
          <w:sz w:val="26"/>
        </w:rPr>
        <w:t>4.1 基准结果：策略是否优于单一资产</w:t>
      </w:r>
    </w:p>
    <w:p>
      <w:pPr>
        <w:spacing w:before="0" w:after="60" w:line="360" w:lineRule="auto"/>
        <w:ind w:firstLine="480"/>
      </w:pPr>
      <w:r>
        <w:rPr>
          <w:rFonts w:ascii="Times New Roman" w:hAnsi="Times New Roman" w:eastAsia="宋体"/>
          <w:b w:val="0"/>
          <w:i w:val="0"/>
          <w:sz w:val="24"/>
        </w:rPr>
        <w:t>表1报告本文策略（σ*=5.5%，启用回撤控制）与四类基准的绩效对比。样本区间2013-08-01至2026-10-20，所有结果已扣除交易成本。基准的选择遵循"可比性优先"原则：既包括单一资产（检验是否押中幸运标的），也包括静态配置与规则型风控（检验是否只是"低波动"与"组合保险"的既有功劳）。</w:t>
      </w:r>
    </w:p>
    <w:p>
      <w:pPr>
        <w:spacing w:before="200" w:after="60" w:line="276" w:lineRule="auto"/>
        <w:jc w:val="center"/>
      </w:pPr>
      <w:r>
        <w:rPr>
          <w:rFonts w:ascii="Times New Roman" w:hAnsi="Times New Roman" w:eastAsia="黑体"/>
          <w:b/>
          <w:i w:val="0"/>
          <w:sz w:val="21"/>
        </w:rPr>
        <w:t>表1　绩效对比（2013-08 至 2026-10，已扣交易成本）</w:t>
      </w:r>
    </w:p>
    <w:tbl>
      <w:tblPr>
        <w:tblW w:type="auto" w:w="0"/>
        <w:jc w:val="center"/>
        <w:tblLayout w:type="autofit"/>
        <w:tblLook w:firstColumn="1" w:firstRow="1" w:lastColumn="0" w:lastRow="0" w:noHBand="0" w:noVBand="1" w:val="04A0"/>
        <w:tblW w:w="5000" w:type="pct"/>
      </w:tblPr>
      <w:tblGrid>
        <w:gridCol w:w="1187"/>
        <w:gridCol w:w="1187"/>
        <w:gridCol w:w="1187"/>
        <w:gridCol w:w="1187"/>
        <w:gridCol w:w="1187"/>
        <w:gridCol w:w="1187"/>
        <w:gridCol w:w="1187"/>
      </w:tblGrid>
      <w:tr>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类别</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资产/策略</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年化%</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波动%</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最大回撤%</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夏普</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卡玛</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本文</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本文策略（σ=5.5%, DC开）</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1.56</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单一资产</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满仓纳指ETF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21.13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21.58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−28.49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0.98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0.74</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单一资产</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满仓红利ETF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9.99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−46.54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0.50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0.21</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单一资产</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满仓黄金ETF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9.56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15.22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−30.52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0.63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0.31</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单一资产</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满仓中证500ETF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7.62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28.07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−65.77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0.27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0.12</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单一资产</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满仓沪深300ETF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6.73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22.16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−45.44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0.30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0.15</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单一资产</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满仓国债ETF</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2.39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−4.92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1.30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0.63</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静态配置</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等权6资产（月度再平衡）</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11.01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15.21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−30.55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0.72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0.36</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静态配置</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逆波动加权满仓（风险平价近似）</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11.79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13.12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−20.86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0.90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0.57</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静态配置</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60国债/40沪深300（月平衡）</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8.81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−19.08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0.59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0.27</w:t>
            </w:r>
          </w:p>
        </w:tc>
      </w:tr>
      <w:tr>
        <w:tc>
          <w:tcPr>
            <w:tcW w:type="dxa" w:w="1187"/>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规则型风控</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CPPI（m=3，底线90%）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4.55</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5.21</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−8.66</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0.87</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0.53</w:t>
            </w:r>
          </w:p>
        </w:tc>
      </w:tr>
    </w:tbl>
    <w:p>
      <w:pPr>
        <w:spacing w:before="0" w:after="60" w:line="360" w:lineRule="auto"/>
        <w:ind w:firstLine="480"/>
      </w:pPr>
      <w:r>
        <w:rPr>
          <w:rFonts w:ascii="Times New Roman" w:hAnsi="Times New Roman" w:eastAsia="宋体"/>
          <w:b w:val="0"/>
          <w:i w:val="0"/>
          <w:sz w:val="24"/>
        </w:rPr>
        <w:t>策略夏普比率1.43高于表1全部11个对照，包括样本内表现最强的纳指ETF（0.98）、风险平价近似组合（0.90）与CPPI（0.87）。CPPI的对比尤其关键：后者同属"按规则削减敞口"的风控手段，年化仅4.55%、夏普0.87，可见规则型风控本身并不自动带来这份优势。但这一优势相对国债ETF（夏普1.30）不具统计显著性（ΔSharpe=+0.116，p=0.774，见第4.4节），且策略含有样本内被检验的参数。因此本文不把"夏普1.43"作为核心主张，它只说明后续机制检验是在一个并非病态的策略上进行的。</w:t>
      </w:r>
    </w:p>
    <w:p>
      <w:pPr>
        <w:spacing w:before="0" w:after="60" w:line="360" w:lineRule="auto"/>
        <w:ind w:firstLine="480"/>
      </w:pPr>
      <w:r>
        <w:rPr>
          <w:rFonts w:ascii="Times New Roman" w:hAnsi="Times New Roman" w:eastAsia="宋体"/>
          <w:b w:val="0"/>
          <w:i w:val="0"/>
          <w:sz w:val="24"/>
        </w:rPr>
        <w:t>回撤压缩的数量级同样醒目：策略将沪深300ETF的−45.44%最大回撤压缩至−4.15%，相当于10.9倍，年化波动从22.16%降至4.52%；等权6资产组合为−30.55%、风险平价组合为−20.86%，均远高于本文策略。这一压缩并非来自预测能力，而是来自"不在场的时候真的不在场"。</w:t>
      </w:r>
    </w:p>
    <w:p>
      <w:pPr>
        <w:spacing w:before="0" w:after="60" w:line="360" w:lineRule="auto"/>
        <w:ind w:firstLine="480"/>
      </w:pPr>
      <w:r>
        <w:rPr>
          <w:rFonts w:ascii="Times New Roman" w:hAnsi="Times New Roman" w:eastAsia="宋体"/>
          <w:b w:val="0"/>
          <w:i w:val="0"/>
          <w:sz w:val="24"/>
        </w:rPr>
        <w:t>代价写在收益一侧。策略年化6.47%低于满仓纳指（21.13%）、满仓红利（9.99%）、等权组合（11.01%）与风险平价组合（11.79%），这是低波动策略的必然代价，本文既不回避也不粉饰。使用这一策略的目的不是证明它更好，而是把它当作一台可控的实验装置：可以干净地开关回撤控制、连续调节目标波动、关闭战术信号，从而识别两层风控的交互效应。一个年化21%的满仓纳指策略承担不了这一功能——它没有风控层可供开关。</w:t>
      </w:r>
    </w:p>
    <w:p>
      <w:pPr>
        <w:spacing w:before="200" w:after="60" w:line="276" w:lineRule="auto"/>
        <w:jc w:val="center"/>
      </w:pPr>
      <w:r>
        <w:rPr>
          <w:rFonts w:ascii="Times New Roman" w:hAnsi="Times New Roman" w:eastAsia="黑体"/>
          <w:b/>
          <w:i w:val="0"/>
          <w:sz w:val="21"/>
        </w:rPr>
        <w:t>表2　分年度收益与超额（%）</w:t>
      </w:r>
    </w:p>
    <w:tbl>
      <w:tblPr>
        <w:tblW w:type="auto" w:w="0"/>
        <w:jc w:val="center"/>
        <w:tblLayout w:type="autofit"/>
        <w:tblLook w:firstColumn="1" w:firstRow="1" w:lastColumn="0" w:lastRow="0" w:noHBand="0" w:noVBand="1" w:val="04A0"/>
        <w:tblW w:w="5000" w:type="pct"/>
      </w:tblPr>
      <w:tblGrid>
        <w:gridCol w:w="1039"/>
        <w:gridCol w:w="1039"/>
        <w:gridCol w:w="1039"/>
        <w:gridCol w:w="1039"/>
        <w:gridCol w:w="1039"/>
        <w:gridCol w:w="1039"/>
        <w:gridCol w:w="1039"/>
        <w:gridCol w:w="1039"/>
      </w:tblGrid>
      <w:tr>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年份</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本策略</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沪深300</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超额</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年份</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本策略</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沪深300</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超额</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2013</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−2.84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−7.65</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+4.81</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7.04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27.21</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−20.17</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18.00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51.66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−33.66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2021</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5.76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+10.96</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2015</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10.91</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+5.33</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−1.60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−21.63</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+20.03</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4.06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−11.28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+15.34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2023</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3.32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−11.38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+14.70</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2017</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21.78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−16.50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14.42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14.68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−0.26</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2018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5.62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−25.31</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+30.93</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2025</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5.49</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17.66</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−12.17</w:t>
            </w:r>
          </w:p>
        </w:tc>
      </w:tr>
      <w:tr>
        <w:tc>
          <w:tcPr>
            <w:tcW w:type="dxa" w:w="1039"/>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2019</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7.47</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36.07</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−28.60</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2026</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1.16</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−10.32</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+11.48</w:t>
            </w:r>
          </w:p>
        </w:tc>
      </w:tr>
    </w:tbl>
    <w:p>
      <w:pPr>
        <w:spacing w:before="0" w:after="60" w:line="360" w:lineRule="auto"/>
        <w:ind w:firstLine="480"/>
      </w:pPr>
      <w:r>
        <w:rPr>
          <w:rFonts w:ascii="Times New Roman" w:hAnsi="Times New Roman" w:eastAsia="宋体"/>
          <w:b w:val="0"/>
          <w:i w:val="0"/>
          <w:sz w:val="24"/>
        </w:rPr>
        <w:t>*2013年为半年度（8月起）；*</w:t>
      </w:r>
      <w:r>
        <w:rPr>
          <w:rFonts w:ascii="Times New Roman" w:hAnsi="Times New Roman" w:eastAsia="宋体"/>
          <w:b w:val="0"/>
          <w:i w:val="0"/>
          <w:sz w:val="24"/>
        </w:rPr>
        <w:t>*2026年为年初至10月20日。</w:t>
      </w:r>
    </w:p>
    <w:p>
      <w:pPr>
        <w:spacing w:before="0" w:after="60" w:line="360" w:lineRule="auto"/>
        <w:ind w:firstLine="480"/>
      </w:pPr>
      <w:r>
        <w:rPr>
          <w:rFonts w:ascii="Times New Roman" w:hAnsi="Times New Roman" w:eastAsia="宋体"/>
          <w:b w:val="0"/>
          <w:i w:val="0"/>
          <w:sz w:val="24"/>
        </w:rPr>
        <w:t>分年度数据揭示了策略收益的来源结构。在沪深300下跌的7个年份（2013、2016、2018、2021、2022、2023、2026）中，策略7年全部跑赢，其中6年取得正绝对收益，唯一例外是2022年的−1.60%，同期沪深300为−21.63%。相反，在2014、2017、2019、2020、2024、2025六个强势年份，策略均跑输。</w:t>
      </w:r>
    </w:p>
    <w:p>
      <w:pPr>
        <w:spacing w:before="0" w:after="60" w:line="360" w:lineRule="auto"/>
        <w:ind w:firstLine="480"/>
      </w:pPr>
      <w:r>
        <w:rPr>
          <w:rFonts w:ascii="Times New Roman" w:hAnsi="Times New Roman" w:eastAsia="宋体"/>
          <w:b w:val="0"/>
          <w:i w:val="0"/>
          <w:sz w:val="24"/>
        </w:rPr>
        <w:t>"熊市赢、牛市输"的形态是低波动策略的本质特征，也是回撤控制的对价。对以绝对收益为目标的资金而言这种形态可接受；对以相对排名考核的资金则不然。</w:t>
      </w:r>
    </w:p>
    <w:p>
      <w:pPr>
        <w:spacing w:before="240" w:after="100" w:line="360" w:lineRule="auto"/>
      </w:pPr>
      <w:r>
        <w:rPr>
          <w:rFonts w:ascii="Times New Roman" w:hAnsi="Times New Roman" w:eastAsia="黑体"/>
          <w:b/>
          <w:i w:val="0"/>
          <w:sz w:val="26"/>
        </w:rPr>
        <w:t>4.2 核心发现：前沿形状的分岔</w:t>
      </w:r>
    </w:p>
    <w:p>
      <w:pPr>
        <w:spacing w:before="0" w:after="60" w:line="360" w:lineRule="auto"/>
        <w:ind w:firstLine="480"/>
      </w:pPr>
      <w:r>
        <w:rPr>
          <w:rFonts w:ascii="Times New Roman" w:hAnsi="Times New Roman" w:eastAsia="宋体"/>
          <w:b w:val="0"/>
          <w:i w:val="0"/>
          <w:sz w:val="24"/>
        </w:rPr>
        <w:t>表3报告本文的核心发现：对8个目标波动水平（3%—12%）分别运行完整回测，并在启用与关闭回撤控制两种情形下比较。</w:t>
      </w:r>
    </w:p>
    <w:p>
      <w:pPr>
        <w:spacing w:before="200" w:after="60" w:line="276" w:lineRule="auto"/>
        <w:jc w:val="center"/>
      </w:pPr>
      <w:r>
        <w:rPr>
          <w:rFonts w:ascii="Times New Roman" w:hAnsi="Times New Roman" w:eastAsia="黑体"/>
          <w:b/>
          <w:i w:val="0"/>
          <w:sz w:val="21"/>
        </w:rPr>
        <w:t>表3　收益-风险前沿：回撤控制开关的对比</w:t>
      </w:r>
    </w:p>
    <w:tbl>
      <w:tblPr>
        <w:tblW w:type="auto" w:w="0"/>
        <w:jc w:val="center"/>
        <w:tblLayout w:type="autofit"/>
        <w:tblLook w:firstColumn="1" w:firstRow="1" w:lastColumn="0" w:lastRow="0" w:noHBand="0" w:noVBand="1" w:val="04A0"/>
        <w:tblW w:w="5000" w:type="pct"/>
      </w:tblPr>
      <w:tblGrid>
        <w:gridCol w:w="1187"/>
        <w:gridCol w:w="1187"/>
        <w:gridCol w:w="1187"/>
        <w:gridCol w:w="1187"/>
        <w:gridCol w:w="1187"/>
        <w:gridCol w:w="1187"/>
        <w:gridCol w:w="1187"/>
      </w:tblGrid>
      <w:tr>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目标波动 σ</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DC关：年化%</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DC关：波动%</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DC关：MDD%</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DC开：年化%</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DC开：波动%</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DC开：MDD%</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3.0%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5.48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3.55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−4.14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5.09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3.23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−4.21</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6.27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4.48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−5.35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5.35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3.70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−4.08</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5.0%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7.05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5.47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−6.80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5.91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4.21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−4.25</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5.5%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7.44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5.99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−4.15</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6.0%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7.83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6.51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−8.27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6.35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4.65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−4.54</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7.0%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8.61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7.55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−9.76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4.81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−4.60</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9.0%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9.80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−12.72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6.23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−5.89</w:t>
            </w:r>
          </w:p>
        </w:tc>
      </w:tr>
      <w:tr>
        <w:tc>
          <w:tcPr>
            <w:tcW w:type="dxa" w:w="1187"/>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12.0%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11.28</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11.92</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−17.96</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5.37</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5.54</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−6.06</w:t>
            </w:r>
          </w:p>
        </w:tc>
      </w:tr>
    </w:tbl>
    <w:p>
      <w:pPr>
        <w:spacing w:before="0" w:after="60" w:line="360" w:lineRule="auto"/>
        <w:ind w:firstLine="480"/>
      </w:pPr>
      <w:r>
        <w:rPr>
          <w:rFonts w:ascii="Times New Roman" w:hAnsi="Times New Roman" w:eastAsia="宋体"/>
          <w:b w:val="0"/>
          <w:i w:val="0"/>
          <w:sz w:val="24"/>
        </w:rPr>
        <w:t>两条前沿的差异不止于水平。</w:t>
      </w:r>
    </w:p>
    <w:p>
      <w:pPr>
        <w:spacing w:before="40" w:after="40" w:line="336" w:lineRule="auto"/>
        <w:ind w:left="480"/>
      </w:pPr>
      <w:r>
        <w:rPr>
          <w:rFonts w:ascii="Times New Roman" w:hAnsi="Times New Roman" w:eastAsia="宋体"/>
          <w:b w:val="0"/>
          <w:i w:val="0"/>
          <w:sz w:val="24"/>
        </w:rPr>
        <w:t>关闭回撤控制时，年化收益随目标波动单调递增，从5.48%（σ</w:t>
      </w:r>
      <w:r>
        <w:rPr>
          <w:rFonts w:ascii="Times New Roman" w:hAnsi="Times New Roman" w:eastAsia="宋体"/>
          <w:b w:val="0"/>
          <w:i w:val="0"/>
          <w:sz w:val="24"/>
        </w:rPr>
        <w:t>*=3%）升至11.28%（σ*</w:t>
      </w:r>
      <w:r>
        <w:rPr>
          <w:rFonts w:ascii="Times New Roman" w:hAnsi="Times New Roman" w:eastAsia="宋体"/>
          <w:b w:val="0"/>
          <w:i w:val="0"/>
          <w:sz w:val="24"/>
        </w:rPr>
        <w:t>=12%），代价是最大回撤同步从−4.14%扩大至−17.96%。这是标准的风险-收益权衡，符合经典理论预期。</w:t>
      </w:r>
    </w:p>
    <w:p>
      <w:pPr>
        <w:spacing w:before="40" w:after="40" w:line="336" w:lineRule="auto"/>
        <w:ind w:left="480"/>
      </w:pPr>
      <w:r>
        <w:rPr>
          <w:rFonts w:ascii="Times New Roman" w:hAnsi="Times New Roman" w:eastAsia="宋体"/>
          <w:b w:val="0"/>
          <w:i w:val="0"/>
          <w:sz w:val="24"/>
        </w:rPr>
        <w:t>启用回撤控制时，年化收益转为单峰形态：从5.09%升至6.47%（σ</w:t>
      </w:r>
      <w:r>
        <w:rPr>
          <w:rFonts w:ascii="Times New Roman" w:hAnsi="Times New Roman" w:eastAsia="宋体"/>
          <w:b w:val="0"/>
          <w:i w:val="0"/>
          <w:sz w:val="24"/>
        </w:rPr>
        <w:t>*=5.5%）后持续回落，至σ*</w:t>
      </w:r>
      <w:r>
        <w:rPr>
          <w:rFonts w:ascii="Times New Roman" w:hAnsi="Times New Roman" w:eastAsia="宋体"/>
          <w:b w:val="0"/>
          <w:i w:val="0"/>
          <w:sz w:val="24"/>
        </w:rPr>
        <w:t>=12%时降至5.37%。把目标波动从3%提高到12%，年化收益只从5.09%升到5.37%，增加0.28个百分点；而在σ*=5.5%之后，投资者承担了更高的目标风险，收益反而更低（6.47%→5.37%，−1.10个百分点）。</w:t>
      </w:r>
    </w:p>
    <w:p>
      <w:pPr>
        <w:spacing w:before="40" w:after="40" w:line="336" w:lineRule="auto"/>
        <w:ind w:left="480"/>
      </w:pPr>
      <w:r>
        <w:rPr>
          <w:rFonts w:ascii="Times New Roman" w:hAnsi="Times New Roman" w:eastAsia="宋体"/>
          <w:b w:val="0"/>
          <w:i w:val="0"/>
          <w:sz w:val="24"/>
        </w:rPr>
        <w:t>最大回撤被"封顶"在−4.08%至−6.06%的窄区间内，不再随目标波动同步扩大。这看似是优点，实则正是问题所在：回撤约束被硬绑定之后，风险预算的边际收益归零。</w:t>
      </w:r>
    </w:p>
    <w:p>
      <w:pPr>
        <w:spacing w:before="200" w:after="60" w:line="240" w:lineRule="auto"/>
        <w:jc w:val="center"/>
      </w:pPr>
      <w:r>
        <w:drawing>
          <wp:inline xmlns:a="http://schemas.openxmlformats.org/drawingml/2006/main" xmlns:pic="http://schemas.openxmlformats.org/drawingml/2006/picture">
            <wp:extent cx="5277600" cy="2058293"/>
            <wp:docPr id="1" name="Picture 1"/>
            <wp:cNvGraphicFramePr>
              <a:graphicFrameLocks noChangeAspect="1"/>
            </wp:cNvGraphicFramePr>
            <a:graphic>
              <a:graphicData uri="http://schemas.openxmlformats.org/drawingml/2006/picture">
                <pic:pic>
                  <pic:nvPicPr>
                    <pic:cNvPr id="0" name="docx_fig1.png"/>
                    <pic:cNvPicPr/>
                  </pic:nvPicPr>
                  <pic:blipFill>
                    <a:blip r:embed="rId11"/>
                    <a:stretch>
                      <a:fillRect/>
                    </a:stretch>
                  </pic:blipFill>
                  <pic:spPr>
                    <a:xfrm>
                      <a:off x="0" y="0"/>
                      <a:ext cx="5277600" cy="2058293"/>
                    </a:xfrm>
                    <a:prstGeom prst="rect"/>
                  </pic:spPr>
                </pic:pic>
              </a:graphicData>
            </a:graphic>
          </wp:inline>
        </w:drawing>
      </w:r>
    </w:p>
    <w:p>
      <w:pPr>
        <w:spacing w:before="40" w:after="200" w:line="276" w:lineRule="auto"/>
        <w:jc w:val="center"/>
      </w:pPr>
      <w:r>
        <w:rPr>
          <w:rFonts w:ascii="Times New Roman" w:hAnsi="Times New Roman" w:eastAsia="黑体"/>
          <w:b/>
          <w:i w:val="0"/>
          <w:sz w:val="21"/>
        </w:rPr>
        <w:t>图1　两种约束集下的有效前沿（圈注：单峰顶点）</w:t>
      </w:r>
    </w:p>
    <w:p>
      <w:pPr>
        <w:spacing w:before="0" w:after="60" w:line="360" w:lineRule="auto"/>
        <w:ind w:firstLine="480"/>
      </w:pPr>
      <w:r>
        <w:rPr>
          <w:rFonts w:ascii="Times New Roman" w:hAnsi="Times New Roman" w:eastAsia="宋体"/>
          <w:b w:val="0"/>
          <w:i w:val="0"/>
          <w:sz w:val="24"/>
        </w:rPr>
        <w:t>这一分岔直接支持假说H1。其经济含义是：回撤控制并非"免费"的风险削减，它改变了整个前沿的形状，使得"提高风险预算以换取收益"这一基本操作在超过阈值后失效。</w:t>
      </w:r>
    </w:p>
    <w:p>
      <w:pPr>
        <w:spacing w:before="240" w:after="100" w:line="360" w:lineRule="auto"/>
      </w:pPr>
      <w:r>
        <w:rPr>
          <w:rFonts w:ascii="Times New Roman" w:hAnsi="Times New Roman" w:eastAsia="黑体"/>
          <w:b/>
          <w:i w:val="0"/>
          <w:sz w:val="26"/>
        </w:rPr>
        <w:t>4.3 交互效应的描述性分解</w:t>
      </w:r>
    </w:p>
    <w:p>
      <w:pPr>
        <w:spacing w:before="0" w:after="60" w:line="360" w:lineRule="auto"/>
        <w:ind w:firstLine="480"/>
      </w:pPr>
      <w:r>
        <w:rPr>
          <w:rFonts w:ascii="Times New Roman" w:hAnsi="Times New Roman" w:eastAsia="宋体"/>
          <w:b w:val="0"/>
          <w:i w:val="0"/>
          <w:sz w:val="24"/>
        </w:rPr>
        <w:t>为量化交互效应，最自然的做法是以16个（σ*, DC）组合的结果为观测，估计如下交互项模型：</w:t>
      </w:r>
    </w:p>
    <w:p>
      <w:pPr>
        <w:spacing w:before="160" w:after="160" w:line="240" w:lineRule="auto"/>
        <w:jc w:val="center"/>
      </w:pPr>
      <m:oMathPara>
        <m:box>
          <m:e>
            <m:r>
              <m:rPr>
                <m:sty m:val="i"/>
              </m:rPr>
              <m:t>R</m:t>
            </m:r>
            <m:r>
              <m:rPr>
                <m:sty m:val="i"/>
              </m:rPr>
              <m:t>e</m:t>
            </m:r>
            <m:r>
              <m:rPr>
                <m:sty m:val="i"/>
              </m:rPr>
              <m:t>t</m:t>
            </m:r>
            <m:r>
              <m:rPr>
                <m:sty m:val="i"/>
              </m:rPr>
              <m:t>u</m:t>
            </m:r>
            <m:r>
              <m:rPr>
                <m:sty m:val="i"/>
              </m:rPr>
              <m:t>r</m:t>
            </m:r>
            <m:sSub>
              <m:e>
                <m:r>
                  <m:rPr>
                    <m:sty m:val="i"/>
                  </m:rPr>
                  <m:t>n</m:t>
                </m:r>
              </m:e>
              <m:sub>
                <m:r>
                  <m:rPr>
                    <m:sty m:val="i"/>
                  </m:rPr>
                  <m:t>i</m:t>
                </m:r>
              </m:sub>
            </m:sSub>
            <m:r>
              <m:rPr>
                <m:sty m:val="p"/>
              </m:rPr>
              <m:t>=</m:t>
            </m:r>
            <m:r>
              <m:rPr>
                <m:sty m:val="i"/>
              </m:rPr>
              <m:t>α</m:t>
            </m:r>
            <m:r>
              <m:rPr>
                <m:sty m:val="p"/>
              </m:rPr>
              <m:t>+</m:t>
            </m:r>
            <m:sSub>
              <m:e>
                <m:r>
                  <m:rPr>
                    <m:sty m:val="i"/>
                  </m:rPr>
                  <m:t>β</m:t>
                </m:r>
              </m:e>
              <m:sub>
                <m:r>
                  <m:rPr>
                    <m:sty m:val="p"/>
                  </m:rPr>
                  <m:t>1</m:t>
                </m:r>
              </m:sub>
            </m:sSub>
            <m:sSubSup>
              <m:e>
                <m:r>
                  <m:rPr>
                    <m:sty m:val="i"/>
                  </m:rPr>
                  <m:t>σ</m:t>
                </m:r>
              </m:e>
              <m:sub>
                <m:box>
                  <m:e>
                    <m:r>
                      <m:rPr>
                        <m:sty m:val="i"/>
                      </m:rPr>
                      <m:t>i</m:t>
                    </m:r>
                  </m:e>
                </m:box>
              </m:sub>
              <m:sup>
                <m:r>
                  <m:rPr>
                    <m:sty m:val="p"/>
                  </m:rPr>
                  <m:t>*</m:t>
                </m:r>
              </m:sup>
            </m:sSubSup>
            <m:r>
              <m:rPr>
                <m:sty m:val="p"/>
              </m:rPr>
              <m:t>+</m:t>
            </m:r>
            <m:sSub>
              <m:e>
                <m:r>
                  <m:rPr>
                    <m:sty m:val="i"/>
                  </m:rPr>
                  <m:t>β</m:t>
                </m:r>
              </m:e>
              <m:sub>
                <m:r>
                  <m:rPr>
                    <m:sty m:val="p"/>
                  </m:rPr>
                  <m:t>2</m:t>
                </m:r>
              </m:sub>
            </m:sSub>
            <m:r>
              <m:rPr>
                <m:sty m:val="i"/>
              </m:rPr>
              <m:t>D</m:t>
            </m:r>
            <m:sSub>
              <m:e>
                <m:r>
                  <m:rPr>
                    <m:sty m:val="i"/>
                  </m:rPr>
                  <m:t>C</m:t>
                </m:r>
              </m:e>
              <m:sub>
                <m:r>
                  <m:rPr>
                    <m:sty m:val="i"/>
                  </m:rPr>
                  <m:t>i</m:t>
                </m:r>
              </m:sub>
            </m:sSub>
            <m:r>
              <m:rPr>
                <m:sty m:val="p"/>
              </m:rPr>
              <m:t>+</m:t>
            </m:r>
            <m:sSub>
              <m:e>
                <m:r>
                  <m:rPr>
                    <m:sty m:val="i"/>
                  </m:rPr>
                  <m:t>β</m:t>
                </m:r>
              </m:e>
              <m:sub>
                <m:r>
                  <m:rPr>
                    <m:sty m:val="p"/>
                  </m:rPr>
                  <m:t>3</m:t>
                </m:r>
              </m:sub>
            </m:sSub>
            <m:r>
              <m:rPr>
                <m:sty m:val="p"/>
              </m:rPr>
              <m:t>(</m:t>
            </m:r>
            <m:sSubSup>
              <m:e>
                <m:r>
                  <m:rPr>
                    <m:sty m:val="i"/>
                  </m:rPr>
                  <m:t>σ</m:t>
                </m:r>
              </m:e>
              <m:sub>
                <m:box>
                  <m:e>
                    <m:r>
                      <m:rPr>
                        <m:sty m:val="i"/>
                      </m:rPr>
                      <m:t>i</m:t>
                    </m:r>
                  </m:e>
                </m:box>
              </m:sub>
              <m:sup>
                <m:r>
                  <m:rPr>
                    <m:sty m:val="p"/>
                  </m:rPr>
                  <m:t>*</m:t>
                </m:r>
              </m:sup>
            </m:sSubSup>
            <m:r>
              <m:rPr>
                <m:sty m:val="p"/>
              </m:rPr>
              <m:t>×</m:t>
            </m:r>
            <m:r>
              <m:rPr>
                <m:sty m:val="i"/>
              </m:rPr>
              <m:t>D</m:t>
            </m:r>
            <m:sSub>
              <m:e>
                <m:r>
                  <m:rPr>
                    <m:sty m:val="i"/>
                  </m:rPr>
                  <m:t>C</m:t>
                </m:r>
              </m:e>
              <m:sub>
                <m:r>
                  <m:rPr>
                    <m:sty m:val="i"/>
                  </m:rPr>
                  <m:t>i</m:t>
                </m:r>
              </m:sub>
            </m:sSub>
            <m:r>
              <m:rPr>
                <m:sty m:val="p"/>
              </m:rPr>
              <m:t>)</m:t>
            </m:r>
            <m:r>
              <m:rPr>
                <m:sty m:val="p"/>
              </m:rPr>
              <m:t>+</m:t>
            </m:r>
            <m:sSub>
              <m:e>
                <m:r>
                  <m:rPr>
                    <m:sty m:val="i"/>
                  </m:rPr>
                  <m:t>ε</m:t>
                </m:r>
              </m:e>
              <m:sub>
                <m:r>
                  <m:rPr>
                    <m:sty m:val="i"/>
                  </m:rPr>
                  <m:t>i</m:t>
                </m:r>
              </m:sub>
            </m:sSub>
          </m:e>
        </m:box>
      </m:oMathPara>
    </w:p>
    <w:p>
      <w:pPr>
        <w:spacing w:before="0" w:after="60" w:line="360" w:lineRule="auto"/>
        <w:ind w:firstLine="480"/>
      </w:pPr>
      <w:r>
        <w:rPr>
          <w:rFonts w:ascii="Times New Roman" w:hAnsi="Times New Roman" w:eastAsia="宋体"/>
          <w:b w:val="0"/>
          <w:i w:val="0"/>
          <w:sz w:val="24"/>
        </w:rPr>
        <w:t>本文估计了该模型，但拒绝将其作为统计推断的依据，只作为描述性分解报告。拒绝的理由有三点。</w:t>
      </w:r>
    </w:p>
    <w:p>
      <w:pPr>
        <w:spacing w:before="0" w:after="60" w:line="360" w:lineRule="auto"/>
        <w:ind w:firstLine="480"/>
      </w:pPr>
      <w:r>
        <w:rPr>
          <w:rFonts w:ascii="Times New Roman" w:hAnsi="Times New Roman" w:eastAsia="宋体"/>
          <w:b w:val="0"/>
          <w:i w:val="0"/>
          <w:sz w:val="24"/>
        </w:rPr>
        <w:t>其一，这16个"观测"不是独立抽样。它们是同一段3210个交易日的样本在16组参数下的重复评估，相邻σ*档位共享几乎全部交易日路径，残差之间存在机械的高阶相关。其二，由此得到的OLS标准误严重低估真实不确定性，任何基于其的t统计量与p值都会给出虚假的精确性——一个N=16、残差强相关的回归报告p&lt;0.001，其信息含量接近于零。其三，交互模型的β₃在代数上等价于"两条分支各自斜率之差"，完全可以在不引入推断框架的前提下报告同一个数字。</w:t>
      </w:r>
    </w:p>
    <w:p>
      <w:pPr>
        <w:spacing w:before="0" w:after="60" w:line="360" w:lineRule="auto"/>
        <w:ind w:firstLine="480"/>
      </w:pPr>
      <w:r>
        <w:rPr>
          <w:rFonts w:ascii="Times New Roman" w:hAnsi="Times New Roman" w:eastAsia="宋体"/>
          <w:b w:val="0"/>
          <w:i w:val="0"/>
          <w:sz w:val="24"/>
        </w:rPr>
        <w:t>基于以上考虑，表4以分支斜率的形式报告结果。</w:t>
      </w:r>
    </w:p>
    <w:p>
      <w:pPr>
        <w:spacing w:before="200" w:after="60" w:line="276" w:lineRule="auto"/>
        <w:jc w:val="center"/>
      </w:pPr>
      <w:r>
        <w:rPr>
          <w:rFonts w:ascii="Times New Roman" w:hAnsi="Times New Roman" w:eastAsia="黑体"/>
          <w:b/>
          <w:i w:val="0"/>
          <w:sz w:val="21"/>
        </w:rPr>
        <w:t>表4　"收益—目标波动"关系的分支斜率（描述性，不作推断）</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因变量</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DC关：斜率</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R²</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DC开：斜率</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R²</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斜率之差</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年化收益%</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+0.6479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0.988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+0.0270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0.020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−0.6209</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夏普比率</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−0.0228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0.981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−0.0384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0.795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−0.0156</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卡玛比率</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−0.0728</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0.927</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−0.0510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0.464</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+0.0218</w:t>
            </w:r>
          </w:p>
        </w:tc>
      </w:tr>
    </w:tbl>
    <w:p>
      <w:pPr>
        <w:spacing w:before="0" w:after="60" w:line="360" w:lineRule="auto"/>
        <w:ind w:firstLine="480"/>
      </w:pPr>
      <w:r>
        <w:rPr>
          <w:rFonts w:ascii="Times New Roman" w:hAnsi="Times New Roman" w:eastAsia="宋体"/>
          <w:b w:val="0"/>
          <w:i w:val="0"/>
          <w:sz w:val="24"/>
        </w:rPr>
        <w:t>注：斜率的单位为"目标波动每提高1个百分点所引起的因变量变化"；分支内回归各含8个观测。斜率之差在数值上等于合并估计交互项模型时 σ</w:t>
      </w:r>
      <w:r>
        <w:rPr>
          <w:rFonts w:ascii="Times New Roman" w:hAnsi="Times New Roman" w:eastAsia="宋体"/>
          <w:b w:val="0"/>
          <w:i w:val="0"/>
          <w:sz w:val="24"/>
        </w:rPr>
        <w:t>*×DC 的系数 β₃。R² 仅描述线性近似对8个散点的贴合程度，不承担推断含义。*</w:t>
      </w:r>
      <w:r>
        <w:rPr>
          <w:rFonts w:ascii="Times New Roman" w:hAnsi="Times New Roman" w:eastAsia="宋体"/>
          <w:b w:val="0"/>
          <w:i w:val="0"/>
          <w:sz w:val="24"/>
        </w:rPr>
        <w:t>*本表不报告标准误、t 值与 p 值，原因见正文*</w:t>
      </w:r>
      <w:r>
        <w:rPr>
          <w:rFonts w:ascii="Times New Roman" w:hAnsi="Times New Roman" w:eastAsia="宋体"/>
          <w:b w:val="0"/>
          <w:i w:val="0"/>
          <w:sz w:val="24"/>
        </w:rPr>
        <w:t>*；对核心结论的统计推断一律采用第4.4节的 block bootstrap。</w:t>
      </w:r>
    </w:p>
    <w:p>
      <w:pPr>
        <w:spacing w:before="0" w:after="60" w:line="360" w:lineRule="auto"/>
        <w:ind w:firstLine="480"/>
      </w:pPr>
      <w:r>
        <w:rPr>
          <w:rFonts w:ascii="Times New Roman" w:hAnsi="Times New Roman" w:eastAsia="宋体"/>
          <w:b w:val="0"/>
          <w:i w:val="0"/>
          <w:sz w:val="24"/>
        </w:rPr>
        <w:t>关闭回撤控制时，年化收益对σ</w:t>
      </w:r>
      <w:r>
        <w:rPr>
          <w:rFonts w:ascii="Times New Roman" w:hAnsi="Times New Roman" w:eastAsia="宋体"/>
          <w:b w:val="0"/>
          <w:i w:val="0"/>
          <w:sz w:val="24"/>
        </w:rPr>
        <w:t>*的斜率为+0.6479，R²=0.988，即σ*</w:t>
      </w:r>
      <w:r>
        <w:rPr>
          <w:rFonts w:ascii="Times New Roman" w:hAnsi="Times New Roman" w:eastAsia="宋体"/>
          <w:b w:val="0"/>
          <w:i w:val="0"/>
          <w:sz w:val="24"/>
        </w:rPr>
        <w:t>几乎完全解释了收益的变化；启用回撤控制后，斜率降至+0.0270，仅为前者的4.2%，R²降至0.020。后者是表4中最有信息量的数字：回撤控制一旦开启，目标波动对收益已经基本失去解释力。提高风险预算不再带来收益，这不是斜率"变小"，而是关系"消失"。</w:t>
      </w:r>
    </w:p>
    <w:p>
      <w:pPr>
        <w:spacing w:before="0" w:after="60" w:line="360" w:lineRule="auto"/>
        <w:ind w:firstLine="480"/>
      </w:pPr>
      <w:r>
        <w:rPr>
          <w:rFonts w:ascii="Times New Roman" w:hAnsi="Times New Roman" w:eastAsia="宋体"/>
          <w:b w:val="0"/>
          <w:i w:val="0"/>
          <w:sz w:val="24"/>
        </w:rPr>
        <w:t>交互效应的方向则取决于口径。年化收益口径的斜率之差为−0.6209，抵消了主效应的95.8%；卡玛比率口径的斜率之差为+0.0218，方向相反。原因是回撤控制同时压缩了回撤分母，这一正向作用抵消了收益端的负效应。也就是说，回撤控制"改善"了风险调整指标，却"损害"了绝对收益；若以绝对收益为目标，而这正是零售投资者与绝对收益产品的真实目标，交互效应明确为负。</w:t>
      </w:r>
    </w:p>
    <w:p>
      <w:pPr>
        <w:spacing w:before="0" w:after="60" w:line="360" w:lineRule="auto"/>
        <w:ind w:firstLine="480"/>
      </w:pPr>
      <w:r>
        <w:rPr>
          <w:rFonts w:ascii="Times New Roman" w:hAnsi="Times New Roman" w:eastAsia="宋体"/>
          <w:b w:val="0"/>
          <w:i w:val="0"/>
          <w:sz w:val="24"/>
        </w:rPr>
        <w:t>DC开分支0.020的R²也不宜读作"噪声大"，它反映的是线性设定错误，该分支的真实形状是单峰而非直线。这与第4.2节的核心发现是同一件事的两种表述，同时说明用单一交互项刻画两层风控的关系并不充分：本文关注的对象是前沿的形状，而非斜率。</w:t>
      </w:r>
    </w:p>
    <w:p>
      <w:pPr>
        <w:spacing w:before="240" w:after="100" w:line="360" w:lineRule="auto"/>
      </w:pPr>
      <w:r>
        <w:rPr>
          <w:rFonts w:ascii="Times New Roman" w:hAnsi="Times New Roman" w:eastAsia="黑体"/>
          <w:b/>
          <w:i w:val="0"/>
          <w:sz w:val="26"/>
        </w:rPr>
        <w:t>4.4 统计显著性：block bootstrap</w:t>
      </w:r>
    </w:p>
    <w:p>
      <w:pPr>
        <w:spacing w:before="0" w:after="60" w:line="360" w:lineRule="auto"/>
        <w:ind w:firstLine="480"/>
      </w:pPr>
      <w:r>
        <w:rPr>
          <w:rFonts w:ascii="Times New Roman" w:hAnsi="Times New Roman" w:eastAsia="宋体"/>
          <w:b w:val="0"/>
          <w:i w:val="0"/>
          <w:sz w:val="24"/>
        </w:rPr>
        <w:t>由于策略收益存在序列相关与路径依赖，本文采用 block bootstrap（block=21个交易日，重采样2000次）检验关键对比的显著性，而非使用常规t检验。</w:t>
      </w:r>
    </w:p>
    <w:p>
      <w:pPr>
        <w:spacing w:before="200" w:after="60" w:line="276" w:lineRule="auto"/>
        <w:jc w:val="center"/>
      </w:pPr>
      <w:r>
        <w:rPr>
          <w:rFonts w:ascii="Times New Roman" w:hAnsi="Times New Roman" w:eastAsia="黑体"/>
          <w:b/>
          <w:i w:val="0"/>
          <w:sz w:val="21"/>
        </w:rPr>
        <w:t>表5　block bootstrap 检验（2000次，block=21日）</w:t>
      </w:r>
    </w:p>
    <w:tbl>
      <w:tblPr>
        <w:tblW w:type="auto" w:w="0"/>
        <w:jc w:val="center"/>
        <w:tblLayout w:type="autofit"/>
        <w:tblLook w:firstColumn="1" w:firstRow="1" w:lastColumn="0" w:lastRow="0" w:noHBand="0" w:noVBand="1" w:val="04A0"/>
        <w:tblW w:w="5000" w:type="pct"/>
      </w:tblPr>
      <w:tblGrid>
        <w:gridCol w:w="2078"/>
        <w:gridCol w:w="2078"/>
        <w:gridCol w:w="2078"/>
        <w:gridCol w:w="2078"/>
      </w:tblGrid>
      <w:tr>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对比</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ΔSharpe</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95%置信区间</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p值</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本文策略 vs 沪深300ETF</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+1.005</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[0.495, 1.533]</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0.000</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本文策略 vs 红利ETF</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+0.836</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[0.326, 1.391]</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0.004</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本文策略 vs 国债ETF</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+0.116</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[−0.596, 0.801]</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0.774</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内点最优(σ=5.5%) vs 高目标(σ=12%)，同为DC开</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+0.439</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[0.092, 0.772]</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0.012</w:t>
            </w:r>
          </w:p>
        </w:tc>
      </w:tr>
      <w:tr>
        <w:tc>
          <w:tcPr>
            <w:tcW w:type="dxa" w:w="2078"/>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21"/>
              </w:rPr>
              <w:t>DC开 vs DC关，同为σ=5.5%</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+0.181</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[−0.040, 0.407]</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0.112</w:t>
            </w:r>
          </w:p>
        </w:tc>
      </w:tr>
    </w:tbl>
    <w:p>
      <w:pPr>
        <w:spacing w:before="0" w:after="60" w:line="360" w:lineRule="auto"/>
        <w:ind w:firstLine="480"/>
      </w:pPr>
      <w:r>
        <w:rPr>
          <w:rFonts w:ascii="Times New Roman" w:hAnsi="Times New Roman" w:eastAsia="宋体"/>
          <w:b w:val="0"/>
          <w:i w:val="0"/>
          <w:sz w:val="24"/>
        </w:rPr>
        <w:t>内点最优是真实的，而非样本噪声。σ</w:t>
      </w:r>
      <w:r>
        <w:rPr>
          <w:rFonts w:ascii="Times New Roman" w:hAnsi="Times New Roman" w:eastAsia="宋体"/>
          <w:b w:val="0"/>
          <w:i w:val="0"/>
          <w:sz w:val="24"/>
        </w:rPr>
        <w:t>*=5.5%相对σ*</w:t>
      </w:r>
      <w:r>
        <w:rPr>
          <w:rFonts w:ascii="Times New Roman" w:hAnsi="Times New Roman" w:eastAsia="宋体"/>
          <w:b w:val="0"/>
          <w:i w:val="0"/>
          <w:sz w:val="24"/>
        </w:rPr>
        <w:t>=12%的夏普优势为+0.439，95%置信区间[0.092, 0.772]完全位于正区间，p=0.012，这是本文核心发现的统计基础。</w:t>
      </w:r>
    </w:p>
    <w:p>
      <w:pPr>
        <w:spacing w:before="0" w:after="60" w:line="360" w:lineRule="auto"/>
        <w:ind w:firstLine="480"/>
      </w:pPr>
      <w:r>
        <w:rPr>
          <w:rFonts w:ascii="Times New Roman" w:hAnsi="Times New Roman" w:eastAsia="宋体"/>
          <w:b w:val="0"/>
          <w:i w:val="0"/>
          <w:sz w:val="24"/>
        </w:rPr>
        <w:t>策略显著优于股票类基准（vs 沪深300 p&lt;0.001；vs 红利 p=0.004），但不显著优于国债ETF（ΔSharpe=+0.116, p=0.774）。这一负面结果必须如实报告：国债ETF在本样本内夏普已达1.30，受益于2014年以来的债券长牛，策略相对国债的风险调整优势不具统计显著性。因此本文策略的增量价值主要体现在绝对收益与回撤控制，而非相对无风险资产的夏普提升。</w:t>
      </w:r>
    </w:p>
    <w:p>
      <w:pPr>
        <w:spacing w:before="0" w:after="60" w:line="360" w:lineRule="auto"/>
        <w:ind w:firstLine="480"/>
      </w:pPr>
      <w:r>
        <w:rPr>
          <w:rFonts w:ascii="Times New Roman" w:hAnsi="Times New Roman" w:eastAsia="宋体"/>
          <w:b w:val="0"/>
          <w:i w:val="0"/>
          <w:sz w:val="24"/>
        </w:rPr>
        <w:t>回撤控制本身的收益影响同样不显著（p=0.112）。它不改变夏普，只改变前沿形状：在低目标波动区帮助有限，在高目标波动区伤害显著。</w:t>
      </w:r>
    </w:p>
    <w:p>
      <w:pPr>
        <w:spacing w:before="320" w:after="200" w:line="360" w:lineRule="auto"/>
        <w:jc w:val="center"/>
      </w:pPr>
      <w:r>
        <w:rPr>
          <w:rFonts w:ascii="Times New Roman" w:hAnsi="Times New Roman" w:eastAsia="黑体"/>
          <w:b/>
          <w:i w:val="0"/>
          <w:sz w:val="30"/>
        </w:rPr>
        <w:t>五、机制检验与数值模拟</w:t>
      </w:r>
    </w:p>
    <w:p>
      <w:pPr>
        <w:spacing w:before="0" w:after="60" w:line="360" w:lineRule="auto"/>
        <w:ind w:firstLine="480"/>
      </w:pPr>
      <w:r>
        <w:rPr>
          <w:rFonts w:ascii="Times New Roman" w:hAnsi="Times New Roman" w:eastAsia="宋体"/>
          <w:b w:val="0"/>
          <w:i w:val="0"/>
          <w:sz w:val="24"/>
        </w:rPr>
        <w:t>第4节确立了"存在内点最优"这一事实，本节回答"为什么"。</w:t>
      </w:r>
    </w:p>
    <w:p>
      <w:pPr>
        <w:spacing w:before="240" w:after="100" w:line="360" w:lineRule="auto"/>
      </w:pPr>
      <w:r>
        <w:rPr>
          <w:rFonts w:ascii="Times New Roman" w:hAnsi="Times New Roman" w:eastAsia="黑体"/>
          <w:b/>
          <w:i w:val="0"/>
          <w:sz w:val="26"/>
        </w:rPr>
        <w:t>5.1 敞口实现率：风险预算被吃掉的直接证据</w:t>
      </w:r>
    </w:p>
    <w:p>
      <w:pPr>
        <w:spacing w:before="0" w:after="60" w:line="360" w:lineRule="auto"/>
        <w:ind w:firstLine="480"/>
      </w:pPr>
      <w:r>
        <w:rPr>
          <w:rFonts w:ascii="Times New Roman" w:hAnsi="Times New Roman" w:eastAsia="宋体"/>
          <w:b w:val="0"/>
          <w:i w:val="0"/>
          <w:sz w:val="24"/>
        </w:rPr>
        <w:t>本文构造敞口实现率（realization ratio）作为核心机制变量：</w:t>
      </w:r>
    </w:p>
    <w:p>
      <w:pPr>
        <w:spacing w:before="160" w:after="160" w:line="240" w:lineRule="auto"/>
        <w:jc w:val="center"/>
      </w:pPr>
      <m:oMathPara>
        <m:box>
          <m:e>
            <m:r>
              <m:rPr>
                <m:sty m:val="i"/>
              </m:rPr>
              <m:t>λ</m:t>
            </m:r>
            <m:r>
              <m:rPr>
                <m:sty m:val="p"/>
              </m:rPr>
              <m:t>(</m:t>
            </m:r>
            <m:sSup>
              <m:e>
                <m:r>
                  <m:rPr>
                    <m:sty m:val="i"/>
                  </m:rPr>
                  <m:t>σ</m:t>
                </m:r>
              </m:e>
              <m:sup>
                <m:r>
                  <m:rPr>
                    <m:sty m:val="p"/>
                  </m:rPr>
                  <m:t>*</m:t>
                </m:r>
              </m:sup>
            </m:sSup>
            <m:r>
              <m:rPr>
                <m:sty m:val="p"/>
              </m:rPr>
              <m:t>)</m:t>
            </m:r>
            <m:r>
              <m:rPr>
                <m:sty m:val="p"/>
              </m:rPr>
              <m:t>=</m:t>
            </m:r>
            <m:f>
              <m:num>
                <m:box>
                  <m:e>
                    <m:r>
                      <m:rPr>
                        <m:nor/>
                      </m:rPr>
                      <m:t>实际实现波动</m:t>
                    </m:r>
                  </m:e>
                </m:box>
              </m:num>
              <m:den>
                <m:box>
                  <m:e>
                    <m:r>
                      <m:rPr>
                        <m:nor/>
                      </m:rPr>
                      <m:t>目标波动</m:t>
                    </m:r>
                    <m:r>
                      <m:rPr>
                        <m:nor/>
                      </m:rPr>
                      <m:t> </m:t>
                    </m:r>
                    <m:sSup>
                      <m:e>
                        <m:r>
                          <m:rPr>
                            <m:sty m:val="i"/>
                          </m:rPr>
                          <m:t>σ</m:t>
                        </m:r>
                      </m:e>
                      <m:sup>
                        <m:r>
                          <m:rPr>
                            <m:sty m:val="p"/>
                          </m:rPr>
                          <m:t>*</m:t>
                        </m:r>
                      </m:sup>
                    </m:sSup>
                  </m:e>
                </m:box>
              </m:den>
            </m:f>
          </m:e>
        </m:box>
      </m:oMathPara>
    </w:p>
    <w:p>
      <w:pPr>
        <w:spacing w:before="0" w:after="60" w:line="360" w:lineRule="auto"/>
        <w:ind w:firstLine="480"/>
      </w:pPr>
      <w:r>
        <w:rPr>
          <w:rFonts w:ascii="Times New Roman" w:hAnsi="Times New Roman" w:eastAsia="宋体"/>
          <w:b w:val="0"/>
          <w:i w:val="0"/>
          <w:sz w:val="24"/>
        </w:rPr>
        <w:t>若波动率目标有效运行，λ 应接近1；若回撤控制持续压制敞口，λ 将显著小于1，且随 σ* 上升而下降。</w:t>
      </w:r>
    </w:p>
    <w:p>
      <w:pPr>
        <w:spacing w:before="200" w:after="60" w:line="276" w:lineRule="auto"/>
        <w:jc w:val="center"/>
      </w:pPr>
      <w:r>
        <w:rPr>
          <w:rFonts w:ascii="Times New Roman" w:hAnsi="Times New Roman" w:eastAsia="黑体"/>
          <w:b/>
          <w:i w:val="0"/>
          <w:sz w:val="21"/>
        </w:rPr>
        <w:t>表6　敞口实现率与敞口削减（回撤控制开启）</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目标波动 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实现波动%</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实现率 λ</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平均目标敞口</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平均有效敞口</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敞口削减%</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3.0%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3.23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1.075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0.242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0.204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15.7</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4.0%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3.70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0.925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0.323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0.244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24.5</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4.21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0.842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0.403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0.290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28.2</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4.52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0.821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0.444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0.318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28.4</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6.0%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4.65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0.776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0.484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0.314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35.1</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7.0%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4.81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0.687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0.563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0.328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41.8</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9.0%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5.40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0.600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0.701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0.354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49.6</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12.0%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5.54</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0.461</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0.852</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0.340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60.1</w:t>
            </w:r>
          </w:p>
        </w:tc>
      </w:tr>
    </w:tbl>
    <w:p>
      <w:pPr>
        <w:spacing w:before="0" w:after="60" w:line="360" w:lineRule="auto"/>
        <w:ind w:firstLine="480"/>
      </w:pPr>
      <w:r>
        <w:rPr>
          <w:rFonts w:ascii="Times New Roman" w:hAnsi="Times New Roman" w:eastAsia="宋体"/>
          <w:b w:val="0"/>
          <w:i w:val="0"/>
          <w:sz w:val="24"/>
        </w:rPr>
        <w:t>表6是本文最直接的机制证据。λ 从1.075（σ</w:t>
      </w:r>
      <w:r>
        <w:rPr>
          <w:rFonts w:ascii="Times New Roman" w:hAnsi="Times New Roman" w:eastAsia="宋体"/>
          <w:b w:val="0"/>
          <w:i w:val="0"/>
          <w:sz w:val="24"/>
        </w:rPr>
        <w:t>*=3%）降至0.461（σ*</w:t>
      </w:r>
      <w:r>
        <w:rPr>
          <w:rFonts w:ascii="Times New Roman" w:hAnsi="Times New Roman" w:eastAsia="宋体"/>
          <w:b w:val="0"/>
          <w:i w:val="0"/>
          <w:sz w:val="24"/>
        </w:rPr>
        <w:t>=12%）：在目标波动12%时，投资者"计划"承担12%的波动，实际只承担5.54%，风险预算有一半以上从未被使用。</w:t>
      </w:r>
    </w:p>
    <w:p>
      <w:pPr>
        <w:spacing w:before="0" w:after="60" w:line="360" w:lineRule="auto"/>
        <w:ind w:firstLine="480"/>
      </w:pPr>
      <w:r>
        <w:rPr>
          <w:rFonts w:ascii="Times New Roman" w:hAnsi="Times New Roman" w:eastAsia="宋体"/>
          <w:b w:val="0"/>
          <w:i w:val="0"/>
          <w:sz w:val="24"/>
        </w:rPr>
        <w:t>目标敞口的增长被系统性吞噬：目标敞口从0.444提升至0.852，增幅92%，而有效敞口仅从0.318升至0.340，增幅6.9%。σ* 从5.5%提到12%所增加的风险预算，约有93%从未转化为实际持仓。这是命题2 中经验条件 A2（敞口饱和）的直接证据。</w:t>
      </w:r>
    </w:p>
    <w:p>
      <w:pPr>
        <w:spacing w:before="0" w:after="60" w:line="360" w:lineRule="auto"/>
        <w:ind w:firstLine="480"/>
      </w:pPr>
      <w:r>
        <w:rPr>
          <w:rFonts w:ascii="Times New Roman" w:hAnsi="Times New Roman" w:eastAsia="宋体"/>
          <w:b w:val="0"/>
          <w:i w:val="0"/>
          <w:sz w:val="24"/>
        </w:rPr>
        <w:t>实现波动在σ*=5.5%之后几乎不再增长：从4.52%到5.54%，仅增加1.02个百分点，同期目标波动却增加了6.5个百分点，削减比例同步从28.4%升至60.1%。实际承担的风险无法提高，第4.2节观察到的前沿单峰便有了直接来源。</w:t>
      </w:r>
    </w:p>
    <w:p>
      <w:pPr>
        <w:spacing w:before="0" w:after="60" w:line="360" w:lineRule="auto"/>
        <w:ind w:firstLine="480"/>
      </w:pPr>
      <w:r>
        <w:rPr>
          <w:rFonts w:ascii="Times New Roman" w:hAnsi="Times New Roman" w:eastAsia="宋体"/>
          <w:b w:val="0"/>
          <w:i w:val="0"/>
          <w:sz w:val="24"/>
        </w:rPr>
        <w:t>本文进一步估计了两层削减比例的相关性 corr(cut_V, cut_D)，在σ</w:t>
      </w:r>
      <w:r>
        <w:rPr>
          <w:rFonts w:ascii="Times New Roman" w:hAnsi="Times New Roman" w:eastAsia="宋体"/>
          <w:b w:val="0"/>
          <w:i w:val="0"/>
          <w:sz w:val="24"/>
        </w:rPr>
        <w:t>*∈{3%, 5.5%, 9%, 12%}上分别为 +0.067、+0.179、+0.082、+0.046，符号一致为正；两层同时处于削减状态的交易日占比从18.5%（σ*</w:t>
      </w:r>
      <w:r>
        <w:rPr>
          <w:rFonts w:ascii="Times New Roman" w:hAnsi="Times New Roman" w:eastAsia="宋体"/>
          <w:b w:val="0"/>
          <w:i w:val="0"/>
          <w:sz w:val="24"/>
        </w:rPr>
        <w:t>=3%）升至43.7%（σ*=12%）。这与前提 A1（高波动期与深回撤期重合）一致，但相关性水平并不高，最高仅0.179，两层并非完全同步，回撤控制的削减中有相当一部分是独立触发的。结合第6.7节"阈值放宽后前沿恢复单调"的发现，决定成本大小的是触发频率而非同步性。</w:t>
      </w:r>
    </w:p>
    <w:p>
      <w:pPr>
        <w:spacing w:before="0" w:after="60" w:line="360" w:lineRule="auto"/>
        <w:ind w:firstLine="480"/>
      </w:pPr>
      <w:r>
        <w:rPr>
          <w:rFonts w:ascii="Times New Roman" w:hAnsi="Times New Roman" w:eastAsia="宋体"/>
          <w:b w:val="0"/>
          <w:i w:val="0"/>
          <w:sz w:val="24"/>
        </w:rPr>
        <w:t>敞口饱和的经验内容由此得到证实。</w:t>
      </w:r>
    </w:p>
    <w:p>
      <w:pPr>
        <w:spacing w:before="240" w:after="100" w:line="360" w:lineRule="auto"/>
      </w:pPr>
      <w:r>
        <w:rPr>
          <w:rFonts w:ascii="Times New Roman" w:hAnsi="Times New Roman" w:eastAsia="黑体"/>
          <w:b/>
          <w:i w:val="0"/>
          <w:sz w:val="26"/>
        </w:rPr>
        <w:t>5.2 收益归因：被吞噬的是"敞口效应"</w:t>
      </w:r>
    </w:p>
    <w:p>
      <w:pPr>
        <w:spacing w:before="0" w:after="60" w:line="360" w:lineRule="auto"/>
        <w:ind w:firstLine="480"/>
      </w:pPr>
      <w:r>
        <w:rPr>
          <w:rFonts w:ascii="Times New Roman" w:hAnsi="Times New Roman" w:eastAsia="宋体"/>
          <w:b w:val="0"/>
          <w:i w:val="0"/>
          <w:sz w:val="24"/>
        </w:rPr>
        <w:t>为进一步定位损失的来源，本文对组合收益做如下分解：</w:t>
      </w:r>
    </w:p>
    <w:p>
      <w:pPr>
        <w:spacing w:before="160" w:after="160" w:line="240" w:lineRule="auto"/>
        <w:jc w:val="center"/>
      </w:pPr>
      <m:oMathPara>
        <m:box>
          <m:e>
            <m:r>
              <m:rPr>
                <m:sty m:val="i"/>
              </m:rPr>
              <m:t>R</m:t>
            </m:r>
            <m:r>
              <m:rPr>
                <m:sty m:val="p"/>
              </m:rPr>
              <m:t>=</m:t>
            </m:r>
            <m:limLow>
              <m:e>
                <m:groupChr>
                  <m:groupChrPr>
                    <m:chr m:val="⏟"/>
                    <m:pos m:val="bot"/>
                  </m:groupChrPr>
                  <m:e>
                    <m:box>
                      <m:e>
                        <m:groupChr>
                          <m:groupChrPr>
                            <m:chr m:val="¯"/>
                            <m:pos m:val="top"/>
                          </m:groupChrPr>
                          <m:e>
                            <m:box>
                              <m:e>
                                <m:r>
                                  <m:rPr>
                                    <m:sty m:val="i"/>
                                  </m:rPr>
                                  <m:t>e</m:t>
                                </m:r>
                              </m:e>
                            </m:box>
                          </m:e>
                        </m:groupChr>
                        <m:r>
                          <m:rPr>
                            <m:sty m:val="p"/>
                          </m:rPr>
                          <m:t>·</m:t>
                        </m:r>
                        <m:sSub>
                          <m:e>
                            <m:r>
                              <m:rPr>
                                <m:sty m:val="i"/>
                              </m:rPr>
                              <m:t>r</m:t>
                            </m:r>
                          </m:e>
                          <m:sub>
                            <m:box>
                              <m:e>
                                <m:r>
                                  <m:rPr>
                                    <m:sty m:val="i"/>
                                  </m:rPr>
                                  <m:t>r</m:t>
                                </m:r>
                                <m:r>
                                  <m:rPr>
                                    <m:sty m:val="i"/>
                                  </m:rPr>
                                  <m:t>e</m:t>
                                </m:r>
                                <m:r>
                                  <m:rPr>
                                    <m:sty m:val="i"/>
                                  </m:rPr>
                                  <m:t>f</m:t>
                                </m:r>
                              </m:e>
                            </m:box>
                          </m:sub>
                        </m:sSub>
                      </m:e>
                    </m:box>
                  </m:e>
                </m:groupChr>
              </m:e>
              <m:lim>
                <m:box>
                  <m:e>
                    <m:r>
                      <m:rPr>
                        <m:nor/>
                      </m:rPr>
                      <m:t>敞口效应</m:t>
                    </m:r>
                  </m:e>
                </m:box>
              </m:lim>
            </m:limLow>
            <m:r>
              <m:rPr>
                <m:sty m:val="p"/>
              </m:rPr>
              <m:t>+</m:t>
            </m:r>
            <m:limLow>
              <m:e>
                <m:groupChr>
                  <m:groupChrPr>
                    <m:chr m:val="⏟"/>
                    <m:pos m:val="bot"/>
                  </m:groupChrPr>
                  <m:e>
                    <m:box>
                      <m:e>
                        <m:nary>
                          <m:naryPr>
                            <m:chr m:val="∑"/>
                            <m:limLoc m:val="undOvr"/>
                          </m:naryPr>
                          <m:sub>
                            <m:r>
                              <m:rPr>
                                <m:sty m:val="i"/>
                              </m:rPr>
                              <m:t>t</m:t>
                            </m:r>
                          </m:sub>
                          <m:sup/>
                          <m:e>
                            <m:r>
                              <m:rPr>
                                <m:sty m:val="p"/>
                              </m:rPr>
                              <m:t>(</m:t>
                            </m:r>
                            <m:sSub>
                              <m:e>
                                <m:r>
                                  <m:rPr>
                                    <m:sty m:val="i"/>
                                  </m:rPr>
                                  <m:t>e</m:t>
                                </m:r>
                              </m:e>
                              <m:sub>
                                <m:r>
                                  <m:rPr>
                                    <m:sty m:val="i"/>
                                  </m:rPr>
                                  <m:t>t</m:t>
                                </m:r>
                              </m:sub>
                            </m:sSub>
                            <m:r>
                              <m:rPr>
                                <m:sty m:val="p"/>
                              </m:rPr>
                              <m:t>−</m:t>
                            </m:r>
                            <m:groupChr>
                              <m:groupChrPr>
                                <m:chr m:val="¯"/>
                                <m:pos m:val="top"/>
                              </m:groupChrPr>
                              <m:e>
                                <m:box>
                                  <m:e>
                                    <m:r>
                                      <m:rPr>
                                        <m:sty m:val="i"/>
                                      </m:rPr>
                                      <m:t>e</m:t>
                                    </m:r>
                                  </m:e>
                                </m:box>
                              </m:e>
                            </m:groupChr>
                            <m:r>
                              <m:rPr>
                                <m:sty m:val="p"/>
                              </m:rPr>
                              <m:t>)</m:t>
                            </m:r>
                            <m:r>
                              <m:t/>
                            </m:r>
                            <m:sSub>
                              <m:e>
                                <m:r>
                                  <m:rPr>
                                    <m:sty m:val="i"/>
                                  </m:rPr>
                                  <m:t>r</m:t>
                                </m:r>
                              </m:e>
                              <m:sub>
                                <m:r>
                                  <m:rPr>
                                    <m:sty m:val="i"/>
                                  </m:rPr>
                                  <m:t>t</m:t>
                                </m:r>
                              </m:sub>
                            </m:sSub>
                          </m:e>
                        </m:nary>
                      </m:e>
                    </m:box>
                  </m:e>
                </m:groupChr>
              </m:e>
              <m:lim>
                <m:box>
                  <m:e>
                    <m:r>
                      <m:rPr>
                        <m:nor/>
                      </m:rPr>
                      <m:t>择时效应</m:t>
                    </m:r>
                  </m:e>
                </m:box>
              </m:lim>
            </m:limLow>
          </m:e>
        </m:box>
      </m:oMathPara>
    </w:p>
    <w:p>
      <w:pPr>
        <w:spacing w:before="0" w:after="60" w:line="360" w:lineRule="auto"/>
        <w:ind w:firstLine="480"/>
      </w:pPr>
      <w:r>
        <w:rPr>
          <w:rFonts w:ascii="Times New Roman" w:hAnsi="Times New Roman" w:eastAsia="宋体"/>
          <w:b w:val="0"/>
          <w:i w:val="0"/>
          <w:sz w:val="24"/>
        </w:rPr>
        <w:t>其中 ē 为平均有效敞口，r_ref 为未施加风控的逆波动加权组合收益。第一项衡量"平均承担了多少风险"，第二项衡量"择时是否增加了价值"。</w:t>
      </w:r>
    </w:p>
    <w:p>
      <w:pPr>
        <w:spacing w:before="200" w:after="60" w:line="276" w:lineRule="auto"/>
        <w:jc w:val="center"/>
      </w:pPr>
      <w:r>
        <w:rPr>
          <w:rFonts w:ascii="Times New Roman" w:hAnsi="Times New Roman" w:eastAsia="黑体"/>
          <w:b/>
          <w:i w:val="0"/>
          <w:sz w:val="21"/>
        </w:rPr>
        <w:t>表7　收益归因分解</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回撤控制</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平均敞口 ē</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敞口效应%</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择时效应%</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关</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0.444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7.44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5.40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2.05</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0.318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3.86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2.61</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9.0%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关</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0.701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9.80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8.52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1.28</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9.0%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0.354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6.23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4.30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1.93</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12.0%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关</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0.852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11.28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10.36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0.92</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12.0%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开</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0.340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5.37</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4.13</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1.23</w:t>
            </w:r>
          </w:p>
        </w:tc>
      </w:tr>
    </w:tbl>
    <w:p>
      <w:pPr>
        <w:spacing w:before="0" w:after="60" w:line="360" w:lineRule="auto"/>
        <w:ind w:firstLine="480"/>
      </w:pPr>
      <w:r>
        <w:rPr>
          <w:rFonts w:ascii="Times New Roman" w:hAnsi="Times New Roman" w:eastAsia="宋体"/>
          <w:b w:val="0"/>
          <w:i w:val="0"/>
          <w:sz w:val="24"/>
        </w:rPr>
        <w:t>*口径说明*</w:t>
      </w:r>
      <w:r>
        <w:rPr>
          <w:rFonts w:ascii="Times New Roman" w:hAnsi="Times New Roman" w:eastAsia="宋体"/>
          <w:b w:val="0"/>
          <w:i w:val="0"/>
          <w:sz w:val="24"/>
        </w:rPr>
        <w:t>：择时效应按残差定义（年化减去敞口效应），因此它同时包含敞口与资产收益之间的协方差，并非对"择时能力"的独立度量。下文对它的解读均限于分解意义上的相对变动，不将其解读为择时 alpha。</w:t>
      </w:r>
    </w:p>
    <w:p>
      <w:pPr>
        <w:spacing w:before="0" w:after="60" w:line="360" w:lineRule="auto"/>
        <w:ind w:firstLine="480"/>
      </w:pPr>
      <w:r>
        <w:rPr>
          <w:rFonts w:ascii="Times New Roman" w:hAnsi="Times New Roman" w:eastAsia="宋体"/>
          <w:b w:val="0"/>
          <w:i w:val="0"/>
          <w:sz w:val="24"/>
        </w:rPr>
        <w:t>分解结果沿两个不同的方向进行比较，得到的结论并不相同，本文分别报告。</w:t>
      </w:r>
    </w:p>
    <w:p>
      <w:pPr>
        <w:spacing w:before="0" w:after="60" w:line="360" w:lineRule="auto"/>
        <w:ind w:firstLine="480"/>
      </w:pPr>
      <w:r>
        <w:rPr>
          <w:rFonts w:ascii="Times New Roman" w:hAnsi="Times New Roman" w:eastAsia="宋体"/>
          <w:b/>
          <w:i w:val="0"/>
          <w:sz w:val="24"/>
        </w:rPr>
        <w:t>跨档比较：同一 σ* 下开关回撤控制。</w:t>
      </w:r>
      <w:r>
        <w:rPr>
          <w:rFonts w:ascii="Times New Roman" w:hAnsi="Times New Roman" w:eastAsia="宋体"/>
          <w:b w:val="0"/>
          <w:i w:val="0"/>
          <w:sz w:val="24"/>
        </w:rPr>
        <w:t xml:space="preserve"> 在σ*=12%时，关闭回撤控制的敞口效应为10.36%，开启后降至4.13%，减少6.23个百分点；而择时效应不降反升，从0.92%升至1.23%，增加0.31个百分点。可见回撤控制的损害主要来自"把平均仓位压低"，而非"干扰择时"。这一结果修正了"回撤控制会破坏择时信号"的常见印象。</w:t>
      </w:r>
    </w:p>
    <w:p>
      <w:pPr>
        <w:spacing w:before="0" w:after="60" w:line="360" w:lineRule="auto"/>
        <w:ind w:firstLine="480"/>
      </w:pPr>
      <w:r>
        <w:rPr>
          <w:rFonts w:ascii="Times New Roman" w:hAnsi="Times New Roman" w:eastAsia="宋体"/>
          <w:b/>
          <w:i w:val="0"/>
          <w:sz w:val="24"/>
        </w:rPr>
        <w:t>沿前沿比较：回撤控制开启后沿 σ* 移动。</w:t>
      </w:r>
      <w:r>
        <w:rPr>
          <w:rFonts w:ascii="Times New Roman" w:hAnsi="Times New Roman" w:eastAsia="宋体"/>
          <w:b w:val="0"/>
          <w:i w:val="0"/>
          <w:sz w:val="24"/>
        </w:rPr>
        <w:t xml:space="preserve"> 在回撤控制开启时，σ* 从5.5%升至12%，敞口效应仅从3.86%微升至4.13%，增加0.27pp，而择时效应从2.61%降至1.23%，减少1.38pp，二者相抵后净损失1.10pp，恰等于第4.2节观察到的末端衰减幅度。这里浮现出第二个机制，即信号冲销（signal offsetting）：目标波动较高时，回撤控制的机械削减频繁覆盖趋势信号的加仓指令，敞口的时变能力无法兑现。</w:t>
      </w:r>
    </w:p>
    <w:p>
      <w:pPr>
        <w:spacing w:before="0" w:after="60" w:line="360" w:lineRule="auto"/>
        <w:ind w:firstLine="480"/>
      </w:pPr>
      <w:r>
        <w:rPr>
          <w:rFonts w:ascii="Times New Roman" w:hAnsi="Times New Roman" w:eastAsia="宋体"/>
          <w:b w:val="0"/>
          <w:i w:val="0"/>
          <w:sz w:val="24"/>
        </w:rPr>
        <w:t>两条比较合起来给出完整的因果链：回撤控制先把平均敞口压低，再随着目标波动上升逐步抹平敞口的时变性。前者解释收益水平的整体下移，后者解释前沿为何由单调转为单峰，也是核心发现即内点最优的直接成因。若只有敞口被压低而时变性保持，前沿将是下移的单调曲线，不会出现内点最优。</w:t>
      </w:r>
    </w:p>
    <w:p>
      <w:pPr>
        <w:spacing w:before="240" w:after="100" w:line="360" w:lineRule="auto"/>
      </w:pPr>
      <w:r>
        <w:rPr>
          <w:rFonts w:ascii="Times New Roman" w:hAnsi="Times New Roman" w:eastAsia="黑体"/>
          <w:b/>
          <w:i w:val="0"/>
          <w:sz w:val="26"/>
        </w:rPr>
        <w:t>5.3 时点检验：回撤控制是否"减错了时点"？</w:t>
      </w:r>
    </w:p>
    <w:p>
      <w:pPr>
        <w:spacing w:before="0" w:after="60" w:line="360" w:lineRule="auto"/>
        <w:ind w:firstLine="480"/>
      </w:pPr>
      <w:r>
        <w:rPr>
          <w:rFonts w:ascii="Times New Roman" w:hAnsi="Times New Roman" w:eastAsia="宋体"/>
          <w:b w:val="0"/>
          <w:i w:val="0"/>
          <w:sz w:val="24"/>
        </w:rPr>
        <w:t>一个诱人的解释是：回撤控制的损失来自在错误时点减仓，即削减恰好发生在市场即将反弹之前。若该解释成立，那么改进方向就是优化回撤控制的触发规则。本节对这一解释做直接检验，并报告一个与本文预期相反、但必须如实呈现的结果。</w:t>
      </w:r>
    </w:p>
    <w:p>
      <w:pPr>
        <w:spacing w:before="0" w:after="60" w:line="360" w:lineRule="auto"/>
        <w:ind w:firstLine="480"/>
      </w:pPr>
      <w:r>
        <w:rPr>
          <w:rFonts w:ascii="Times New Roman" w:hAnsi="Times New Roman" w:eastAsia="宋体"/>
          <w:b w:val="0"/>
          <w:i w:val="0"/>
          <w:sz w:val="24"/>
        </w:rPr>
        <w:t>检验设计包含两项改进。其一是状态控制：若直接用策略自身净值的前瞻收益分组，会混入一个机械效应，重度减仓期策略仓位本就只有15%，前瞻收益自然偏低。为此本文同时报告未施加任何风控的参照组合（逆波动加权、满仓）在各组交易日之后的前瞻收益，它度量的是"这些时点之后市场本身怎样"。其二是统计推断：250个交易日的窗口在3210个交易日的样本中仅有约12.8个非重叠观测，组间均值差若不给出置信区间则毫无意义。本文采用 block bootstrap（block=21日，1000次），在每一次重抽中按重排后的收益序列重建净值、重算回撤档位、再计算前瞻收益，从而完整保留路径依赖。</w:t>
      </w:r>
    </w:p>
    <w:p>
      <w:pPr>
        <w:spacing w:before="200" w:after="60" w:line="276" w:lineRule="auto"/>
        <w:jc w:val="center"/>
      </w:pPr>
      <w:r>
        <w:rPr>
          <w:rFonts w:ascii="Times New Roman" w:hAnsi="Times New Roman" w:eastAsia="黑体"/>
          <w:b/>
          <w:i w:val="0"/>
          <w:sz w:val="21"/>
        </w:rPr>
        <w:t>表8　按回撤控制档位分组的后续收益（%）</w:t>
      </w:r>
    </w:p>
    <w:tbl>
      <w:tblPr>
        <w:tblW w:type="auto" w:w="0"/>
        <w:jc w:val="center"/>
        <w:tblLayout w:type="autofit"/>
        <w:tblLook w:firstColumn="1" w:firstRow="1" w:lastColumn="0" w:lastRow="0" w:noHBand="0" w:noVBand="1" w:val="04A0"/>
        <w:tblW w:w="5000" w:type="pct"/>
      </w:tblPr>
      <w:tblGrid>
        <w:gridCol w:w="1187"/>
        <w:gridCol w:w="1187"/>
        <w:gridCol w:w="1187"/>
        <w:gridCol w:w="1187"/>
        <w:gridCol w:w="1187"/>
        <w:gridCol w:w="1187"/>
        <w:gridCol w:w="1187"/>
      </w:tblGrid>
      <w:tr>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口径</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持有期(日)</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无减仓</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轻度×0.70</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中度×0.40</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重度×0.15</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重度−无减仓(pp)</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策略净值</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0.611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0.427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0.405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0.714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+0.103</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策略净值</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1.437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0.721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0.764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1.054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−0.383</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策略净值</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2.117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1.209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1.082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1.677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−0.440</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策略净值</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3.965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3.117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2.368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3.306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−0.659</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策略净值</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250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7.667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7.088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5.847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9.502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+1.835</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参照组合（状态控制）</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1.317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0.868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0.710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0.630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−0.687</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参照组合（状态控制）</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2.833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1.682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1.487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0.172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−2.661</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参照组合（状态控制）</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4.141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2.479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2.489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0.182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−3.959</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参照组合（状态控制）</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7.614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6.130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5.159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1.793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−5.821</w:t>
            </w:r>
          </w:p>
        </w:tc>
      </w:tr>
      <w:tr>
        <w:tc>
          <w:tcPr>
            <w:tcW w:type="dxa" w:w="1187"/>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参照组合（状态控制）</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250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14.800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13.211</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11.786</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15.248</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+0.448</w:t>
            </w:r>
          </w:p>
        </w:tc>
      </w:tr>
    </w:tbl>
    <w:p>
      <w:pPr>
        <w:spacing w:before="0" w:after="60" w:line="360" w:lineRule="auto"/>
        <w:ind w:firstLine="480"/>
      </w:pPr>
      <w:r>
        <w:rPr>
          <w:rFonts w:ascii="Times New Roman" w:hAnsi="Times New Roman" w:eastAsia="宋体"/>
          <w:b w:val="0"/>
          <w:i w:val="0"/>
          <w:sz w:val="24"/>
        </w:rPr>
        <w:t>各组样本量：无减仓1252个交易日、轻度减仓863、中度减仓865、重度减仓229。</w:t>
      </w:r>
    </w:p>
    <w:p>
      <w:pPr>
        <w:spacing w:before="200" w:after="60" w:line="276" w:lineRule="auto"/>
        <w:jc w:val="center"/>
      </w:pPr>
      <w:r>
        <w:rPr>
          <w:rFonts w:ascii="Times New Roman" w:hAnsi="Times New Roman" w:eastAsia="黑体"/>
          <w:b/>
          <w:i w:val="0"/>
          <w:sz w:val="21"/>
        </w:rPr>
        <w:t>表9　重度减仓组与无减仓组后续收益之差的 block bootstrap 检验（block=21日，1000次）</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持有期(日)</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样本估计(pp)</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bootstrap 均值(pp)</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95%置信区间</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p值</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60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−0.440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+0.312</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[−1.210, +2.196]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0.734</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120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−0.659</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+0.504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[−2.169, +3.303]</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0.730</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250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+1.835</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+0.904</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[−3.864, +5.619]</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0.653</w:t>
            </w:r>
          </w:p>
        </w:tc>
      </w:tr>
    </w:tbl>
    <w:p>
      <w:pPr>
        <w:spacing w:before="0" w:after="60" w:line="360" w:lineRule="auto"/>
        <w:ind w:firstLine="480"/>
      </w:pPr>
      <w:r>
        <w:rPr>
          <w:rFonts w:ascii="Times New Roman" w:hAnsi="Times New Roman" w:eastAsia="宋体"/>
          <w:b/>
          <w:i w:val="0"/>
          <w:sz w:val="24"/>
        </w:rPr>
        <w:t>读数一（状态控制）：回撤控制在短中期是"减对了"的。</w:t>
      </w:r>
      <w:r>
        <w:rPr>
          <w:rFonts w:ascii="Times New Roman" w:hAnsi="Times New Roman" w:eastAsia="宋体"/>
          <w:b w:val="0"/>
          <w:i w:val="0"/>
          <w:sz w:val="24"/>
        </w:rPr>
        <w:t xml:space="preserve"> 在参照组合口径下，重度减仓期之后的20、40、60、120日市场前瞻收益分别为0.630%、0.172%、0.182%、1.793%，全部低于无减仓期的1.317%、2.833%、4.141%、7.614%，差值从−0.69个百分点扩大至−5.82个百分点。回撤控制识别出的确实是一段真实的弱势期，其时点判断在短中期内是正确的，"回撤控制减错了时点"这一解释因此被排除。</w:t>
      </w:r>
    </w:p>
    <w:p>
      <w:pPr>
        <w:spacing w:before="0" w:after="60" w:line="360" w:lineRule="auto"/>
        <w:ind w:firstLine="480"/>
      </w:pPr>
      <w:r>
        <w:rPr>
          <w:rFonts w:ascii="Times New Roman" w:hAnsi="Times New Roman" w:eastAsia="宋体"/>
          <w:b/>
          <w:i w:val="0"/>
          <w:sz w:val="24"/>
        </w:rPr>
        <w:t>读数二（统计推断）：250日窗口上的反转不具统计显著性。</w:t>
      </w:r>
      <w:r>
        <w:rPr>
          <w:rFonts w:ascii="Times New Roman" w:hAnsi="Times New Roman" w:eastAsia="宋体"/>
          <w:b w:val="0"/>
          <w:i w:val="0"/>
          <w:sz w:val="24"/>
        </w:rPr>
        <w:t xml:space="preserve"> 策略净值口径下，重度减仓期之后250日的收益为9.502%，高于无减仓期的7.667%，相差1.835pp。但 block bootstrap 给出的95%置信区间为[−3.864, +5.619]，跨越零，p=0.653；60日与120日窗口同样不显著，p值分别为0.734与0.730。bootstrap 均值仅0.904pp，远低于样本估计的1.835pp，说明样本中的这一反转很可能由少数几个历史事件驱动，例如2015年股灾后的修复，而非一种可重复的规律。</w:t>
      </w:r>
    </w:p>
    <w:p>
      <w:pPr>
        <w:spacing w:before="0" w:after="60" w:line="360" w:lineRule="auto"/>
        <w:ind w:firstLine="480"/>
      </w:pPr>
      <w:r>
        <w:rPr>
          <w:rFonts w:ascii="Times New Roman" w:hAnsi="Times New Roman" w:eastAsia="宋体"/>
          <w:b/>
          <w:i w:val="0"/>
          <w:sz w:val="24"/>
        </w:rPr>
        <w:t>本文据此撤回一项表述。</w:t>
      </w:r>
      <w:r>
        <w:rPr>
          <w:rFonts w:ascii="Times New Roman" w:hAnsi="Times New Roman" w:eastAsia="宋体"/>
          <w:b w:val="0"/>
          <w:i w:val="0"/>
          <w:sz w:val="24"/>
        </w:rPr>
        <w:t xml:space="preserve"> 早期版本曾将表8的250日结果概括为"削减恰好发生在反弹最丰厚的前夜"。该表述在统计上不成立，予以撤回。可以支持的结论是：本文的证据不足以判定"回撤控制减错了时点"。</w:t>
      </w:r>
    </w:p>
    <w:p>
      <w:pPr>
        <w:spacing w:before="0" w:after="60" w:line="360" w:lineRule="auto"/>
        <w:ind w:firstLine="480"/>
      </w:pPr>
      <w:r>
        <w:rPr>
          <w:rFonts w:ascii="Times New Roman" w:hAnsi="Times New Roman" w:eastAsia="宋体"/>
          <w:b w:val="0"/>
          <w:i w:val="0"/>
          <w:sz w:val="24"/>
        </w:rPr>
        <w:t>那么收益损失来自何处？答案回到第5.2节：损失来自敞口被压制后的复利损失与棘轮效应，而非时点判断失误。即使回撤控制每一次都"减对了"，而读数一已证明其在短中期确实如此，被压至15%的仓位也无法从后续的修复中获益。这正是组合保险文献中"棘轮效应"的含义：触及底线后敞口被长期压制，参与反弹的能力丧失。假说H4（敞口压制而非时点错误）得到支持，而本文最初设想的"错误时点"假说被证伪。</w:t>
      </w:r>
    </w:p>
    <w:p>
      <w:pPr>
        <w:spacing w:before="0" w:after="60" w:line="360" w:lineRule="auto"/>
        <w:ind w:firstLine="480"/>
      </w:pPr>
      <w:r>
        <w:rPr>
          <w:rFonts w:ascii="Times New Roman" w:hAnsi="Times New Roman" w:eastAsia="宋体"/>
          <w:b w:val="0"/>
          <w:i w:val="0"/>
          <w:sz w:val="24"/>
        </w:rPr>
        <w:t>这一修正对本文的政策含义有实质影响：若损失来自时点错误，改进方向应是优化触发规则；若损失来自敞口压制，方向则是审慎设定回撤阈值本身，因为只要阈值足够严格，无论触发规则多么精准，压制都会发生。第七节的成本测算与第八节的政策建议均建立在后者之上。</w:t>
      </w:r>
    </w:p>
    <w:p>
      <w:pPr>
        <w:spacing w:before="240" w:after="100" w:line="360" w:lineRule="auto"/>
      </w:pPr>
      <w:r>
        <w:rPr>
          <w:rFonts w:ascii="Times New Roman" w:hAnsi="Times New Roman" w:eastAsia="黑体"/>
          <w:b/>
          <w:i w:val="0"/>
          <w:sz w:val="26"/>
        </w:rPr>
        <w:t>5.4 回撤控制成本的干净分离：固定敞口实验</w:t>
      </w:r>
    </w:p>
    <w:p>
      <w:pPr>
        <w:spacing w:before="0" w:after="60" w:line="360" w:lineRule="auto"/>
        <w:ind w:firstLine="480"/>
      </w:pPr>
      <w:r>
        <w:rPr>
          <w:rFonts w:ascii="Times New Roman" w:hAnsi="Times New Roman" w:eastAsia="宋体"/>
          <w:b w:val="0"/>
          <w:i w:val="0"/>
          <w:sz w:val="24"/>
        </w:rPr>
        <w:t>第5.1—5.3节的证据都来自"两层风控同时开启"的设定，因此存在一个混杂：观测到的成本究竟是回撤控制的单独作用，还是两层叠加后的产物？本节用一个干净的设定把回撤控制的单独作用分离出来。</w:t>
      </w:r>
    </w:p>
    <w:p>
      <w:pPr>
        <w:spacing w:before="0" w:after="60" w:line="360" w:lineRule="auto"/>
        <w:ind w:firstLine="480"/>
      </w:pPr>
      <w:r>
        <w:rPr>
          <w:rFonts w:ascii="Times New Roman" w:hAnsi="Times New Roman" w:eastAsia="宋体"/>
          <w:b/>
          <w:i w:val="0"/>
          <w:sz w:val="24"/>
        </w:rPr>
        <w:t>实验设计。</w:t>
      </w:r>
      <w:r>
        <w:rPr>
          <w:rFonts w:ascii="Times New Roman" w:hAnsi="Times New Roman" w:eastAsia="宋体"/>
          <w:b w:val="0"/>
          <w:i w:val="0"/>
          <w:sz w:val="24"/>
        </w:rPr>
        <w:t xml:space="preserve"> 将目标波动设为100%，使波动率缩放 σ*/σ̂_p 在任何状态下都大于1，从而恒不绑定，直接以杠杆上限 Ē 把敞口固定在 E ∈ {0.25, 0.44, 0.70, 0.85, 1.00}。此时第一层风控被完全关闭，回撤控制是唯一的削减来源。战术信号（趋势、价格分位、M1-M2剪刀差）保持不变，以确保与正文设定的可比性。</w:t>
      </w:r>
    </w:p>
    <w:p>
      <w:pPr>
        <w:spacing w:before="200" w:after="60" w:line="276" w:lineRule="auto"/>
        <w:jc w:val="center"/>
      </w:pPr>
      <w:r>
        <w:rPr>
          <w:rFonts w:ascii="Times New Roman" w:hAnsi="Times New Roman" w:eastAsia="黑体"/>
          <w:b/>
          <w:i w:val="0"/>
          <w:sz w:val="21"/>
        </w:rPr>
        <w:t>表10　固定敞口下回撤控制的单独成本（波动率目标层关闭）</w:t>
      </w:r>
    </w:p>
    <w:tbl>
      <w:tblPr>
        <w:tblW w:type="auto" w:w="0"/>
        <w:jc w:val="center"/>
        <w:tblLayout w:type="autofit"/>
        <w:tblLook w:firstColumn="1" w:firstRow="1" w:lastColumn="0" w:lastRow="0" w:noHBand="0" w:noVBand="1" w:val="04A0"/>
        <w:tblW w:w="5000" w:type="pct"/>
      </w:tblPr>
      <w:tblGrid>
        <w:gridCol w:w="924"/>
        <w:gridCol w:w="924"/>
        <w:gridCol w:w="924"/>
        <w:gridCol w:w="924"/>
        <w:gridCol w:w="924"/>
        <w:gridCol w:w="924"/>
        <w:gridCol w:w="924"/>
        <w:gridCol w:w="924"/>
        <w:gridCol w:w="924"/>
      </w:tblGrid>
      <w:tr>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固定敞口 E</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DC关年化%</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DC开年化%</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DC成本(pp)</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DC关回撤%</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DC开回撤%</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回撤改善(pp)</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DC关夏普</w:t>
            </w:r>
          </w:p>
        </w:tc>
        <w:tc>
          <w:tcPr>
            <w:tcW w:type="dxa" w:w="924"/>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DC开夏普</w:t>
            </w:r>
          </w:p>
        </w:tc>
      </w:tr>
      <w:tr>
        <w:tc>
          <w:tcPr>
            <w:tcW w:type="dxa" w:w="924"/>
            <w:tcBorders>
              <w:top w:val="nil"/>
              <w:left w:val="nil"/>
              <w:bottom w:val="nil"/>
              <w:right w:val="nil"/>
            </w:tcBorders>
          </w:tcPr>
          <w:p>
            <w:pPr>
              <w:spacing w:line="240" w:lineRule="auto" w:before="20" w:after="20"/>
              <w:jc w:val="left"/>
            </w:pPr>
            <w:r/>
            <w:r>
              <w:rPr>
                <w:rFonts w:ascii="Times New Roman" w:hAnsi="Times New Roman" w:eastAsia="宋体"/>
                <w:b w:val="0"/>
                <w:i w:val="0"/>
                <w:sz w:val="17"/>
              </w:rPr>
              <w:t>0.25</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5.21</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4.65</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0.56</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−5.25</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−4.16</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1.38</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1.41</w:t>
            </w:r>
          </w:p>
        </w:tc>
      </w:tr>
      <w:tr>
        <w:tc>
          <w:tcPr>
            <w:tcW w:type="dxa" w:w="924"/>
            <w:tcBorders>
              <w:top w:val="nil"/>
              <w:left w:val="nil"/>
              <w:bottom w:val="nil"/>
              <w:right w:val="nil"/>
            </w:tcBorders>
          </w:tcPr>
          <w:p>
            <w:pPr>
              <w:spacing w:line="240" w:lineRule="auto" w:before="20" w:after="20"/>
              <w:jc w:val="left"/>
            </w:pPr>
            <w:r/>
            <w:r>
              <w:rPr>
                <w:rFonts w:ascii="Times New Roman" w:hAnsi="Times New Roman" w:eastAsia="宋体"/>
                <w:b w:val="0"/>
                <w:i w:val="0"/>
                <w:sz w:val="17"/>
              </w:rPr>
              <w:t>0.44</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6.79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5.69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1.10</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−10.06</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−4.55</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5.51</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1.28</w:t>
            </w:r>
          </w:p>
        </w:tc>
      </w:tr>
      <w:tr>
        <w:tc>
          <w:tcPr>
            <w:tcW w:type="dxa" w:w="924"/>
            <w:tcBorders>
              <w:top w:val="nil"/>
              <w:left w:val="nil"/>
              <w:bottom w:val="nil"/>
              <w:right w:val="nil"/>
            </w:tcBorders>
          </w:tcPr>
          <w:p>
            <w:pPr>
              <w:spacing w:line="240" w:lineRule="auto" w:before="20" w:after="20"/>
              <w:jc w:val="left"/>
            </w:pPr>
            <w:r/>
            <w:r>
              <w:rPr>
                <w:rFonts w:ascii="Times New Roman" w:hAnsi="Times New Roman" w:eastAsia="宋体"/>
                <w:b w:val="0"/>
                <w:i w:val="0"/>
                <w:sz w:val="17"/>
              </w:rPr>
              <w:t>0.70</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8.85</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5.27</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3.58</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−17.87</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−5.28</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12.59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0.90</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1.00</w:t>
            </w:r>
          </w:p>
        </w:tc>
      </w:tr>
      <w:tr>
        <w:tc>
          <w:tcPr>
            <w:tcW w:type="dxa" w:w="924"/>
            <w:tcBorders>
              <w:top w:val="nil"/>
              <w:left w:val="nil"/>
              <w:bottom w:val="nil"/>
              <w:right w:val="nil"/>
            </w:tcBorders>
          </w:tcPr>
          <w:p>
            <w:pPr>
              <w:spacing w:line="240" w:lineRule="auto" w:before="20" w:after="20"/>
              <w:jc w:val="left"/>
            </w:pPr>
            <w:r/>
            <w:r>
              <w:rPr>
                <w:rFonts w:ascii="Times New Roman" w:hAnsi="Times New Roman" w:eastAsia="宋体"/>
                <w:b w:val="0"/>
                <w:i w:val="0"/>
                <w:sz w:val="17"/>
              </w:rPr>
              <w:t>0.85</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9.98</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4.84</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5.14</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−22.18</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−5.49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16.69</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0.84</w:t>
            </w:r>
          </w:p>
        </w:tc>
        <w:tc>
          <w:tcPr>
            <w:tcW w:type="dxa" w:w="924"/>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0.90</w:t>
            </w:r>
          </w:p>
        </w:tc>
      </w:tr>
      <w:tr>
        <w:tc>
          <w:tcPr>
            <w:tcW w:type="dxa" w:w="924"/>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1.00</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11.26</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3.89</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7.37</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−26.24</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−6.76</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19.48</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0.80</w:t>
            </w:r>
          </w:p>
        </w:tc>
        <w:tc>
          <w:tcPr>
            <w:tcW w:type="dxa" w:w="924"/>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0.69</w:t>
            </w:r>
          </w:p>
        </w:tc>
      </w:tr>
    </w:tbl>
    <w:p>
      <w:pPr>
        <w:spacing w:before="0" w:after="60" w:line="360" w:lineRule="auto"/>
        <w:ind w:firstLine="480"/>
      </w:pPr>
      <w:r>
        <w:rPr>
          <w:rFonts w:ascii="Times New Roman" w:hAnsi="Times New Roman" w:eastAsia="宋体"/>
          <w:b w:val="0"/>
          <w:i w:val="0"/>
          <w:sz w:val="24"/>
        </w:rPr>
        <w:t>回撤控制的成本随可削减的敞口单调放大：从 E=0.25 时的0.56个百分点升至 E=1.00 时的7.37个百分点，回撤改善同步从1.09个百分点升至19.48个百分点。这一单调性给出了本文核心机制最直接的解释，即回撤控制的成本取决于"有多少敞口可供削减"。在第4.2节的设定中，σ* 越高则目标敞口越高，可供削减的敞口越多，成本也就越大。前沿之所以在高端弯折，不是因为高波动本身有害，而是因为高目标波动把更多敞口送到了回撤控制的削减之下。</w:t>
      </w:r>
    </w:p>
    <w:p>
      <w:pPr>
        <w:spacing w:before="0" w:after="60" w:line="360" w:lineRule="auto"/>
        <w:ind w:firstLine="480"/>
      </w:pPr>
      <w:r>
        <w:rPr>
          <w:rFonts w:ascii="Times New Roman" w:hAnsi="Times New Roman" w:eastAsia="宋体"/>
          <w:b w:val="0"/>
          <w:i w:val="0"/>
          <w:sz w:val="24"/>
        </w:rPr>
        <w:t>成本与收益的交换比在满仓处急剧恶化。E 从0.25升至0.85，每获得1个百分点的回撤改善需付出0.31至0.51个百分点的年化收益；而在 E=1.00 处，19.48个百分点的回撤改善对应7.37个百分点的收益损失，交换比为0.38，看似改善，夏普比率却从0.80降至0.69。这是全表唯一一处回撤控制降低风险调整后收益的情形：当底层敞口已满仓、无处可退时，回撤控制的削减失去了"用收益换稳健"的合理性。</w:t>
      </w:r>
    </w:p>
    <w:p>
      <w:pPr>
        <w:spacing w:before="0" w:after="60" w:line="360" w:lineRule="auto"/>
        <w:ind w:firstLine="480"/>
      </w:pPr>
      <w:r>
        <w:rPr>
          <w:rFonts w:ascii="Times New Roman" w:hAnsi="Times New Roman" w:eastAsia="宋体"/>
          <w:b w:val="0"/>
          <w:i w:val="0"/>
          <w:sz w:val="24"/>
        </w:rPr>
        <w:t>本实验同时构成对"两层同步"假说的检验。若本文的核心机制确实依赖两层风控的同步削减（命题1），那么在关闭第一层后，成本应当显著小于两层同开时的水平。结果相反：两层同开时 σ*=12% 的成本为5.91个百分点，年化从11.28%降至5.37%，而固定敞口 E=1.00 时的成本达7.37个百分点，后者更高。回撤控制的成本主要不来自"两层同步"，而来自"削减本身的规模"，两层同步只决定削减发生的时点分布。这与第5.1节观察到的低相关性一致，corr 最高仅0.179，也与第6.7节阈值放宽后前沿恢复单调的现象相符。</w:t>
      </w:r>
    </w:p>
    <w:p>
      <w:pPr>
        <w:spacing w:before="240" w:after="100" w:line="360" w:lineRule="auto"/>
      </w:pPr>
      <w:r>
        <w:rPr>
          <w:rFonts w:ascii="Times New Roman" w:hAnsi="Times New Roman" w:eastAsia="黑体"/>
          <w:b/>
          <w:i w:val="0"/>
          <w:sz w:val="26"/>
        </w:rPr>
        <w:t>5.5 数值模拟：理论命题的验证</w:t>
      </w:r>
    </w:p>
    <w:p>
      <w:pPr>
        <w:spacing w:before="0" w:after="60" w:line="360" w:lineRule="auto"/>
        <w:ind w:firstLine="480"/>
      </w:pPr>
      <w:r>
        <w:rPr>
          <w:rFonts w:ascii="Times New Roman" w:hAnsi="Times New Roman" w:eastAsia="宋体"/>
          <w:b w:val="0"/>
          <w:i w:val="0"/>
          <w:sz w:val="24"/>
        </w:rPr>
        <w:t>为检验第2.4节理论命题的普适性，本文进行蒙特卡洛模拟。设定风险资产收益服从带随机波动率的过程（两状态马尔可夫链，低波7.8%/高波17.8%），夏普比率随波动上升而下降（β=0.9），模拟4000条路径、每条2520个交易日。</w:t>
      </w:r>
    </w:p>
    <w:p>
      <w:pPr>
        <w:spacing w:before="0" w:after="60" w:line="360" w:lineRule="auto"/>
        <w:ind w:firstLine="480"/>
      </w:pPr>
      <w:r>
        <w:rPr>
          <w:rFonts w:ascii="Times New Roman" w:hAnsi="Times New Roman" w:eastAsia="宋体"/>
          <w:b/>
          <w:i w:val="0"/>
          <w:sz w:val="24"/>
        </w:rPr>
        <w:t>引理1（截断的不对称性）。</w:t>
      </w:r>
      <w:r>
        <w:rPr>
          <w:rFonts w:ascii="Times New Roman" w:hAnsi="Times New Roman" w:eastAsia="宋体"/>
          <w:b w:val="0"/>
          <w:i w:val="0"/>
          <w:sz w:val="24"/>
        </w:rPr>
        <w:t xml:space="preserve"> 下表显示，当 Ē=1 时，E[e^V] 随 σ</w:t>
      </w:r>
      <w:r>
        <w:rPr>
          <w:rFonts w:ascii="Times New Roman" w:hAnsi="Times New Roman" w:eastAsia="宋体"/>
          <w:b w:val="0"/>
          <w:i w:val="0"/>
          <w:sz w:val="24"/>
        </w:rPr>
        <w:t>* 上升迅速饱和，σ*</w:t>
      </w:r>
      <w:r>
        <w:rPr>
          <w:rFonts w:ascii="Times New Roman" w:hAnsi="Times New Roman" w:eastAsia="宋体"/>
          <w:b w:val="0"/>
          <w:i w:val="0"/>
          <w:sz w:val="24"/>
        </w:rPr>
        <w:t>≥0.16后停滞在0.66附近；而 Ē=2 时持续增长至1.16。截断缺口从σ</w:t>
      </w:r>
      <w:r>
        <w:rPr>
          <w:rFonts w:ascii="Times New Roman" w:hAnsi="Times New Roman" w:eastAsia="宋体"/>
          <w:b w:val="0"/>
          <w:i w:val="0"/>
          <w:sz w:val="24"/>
        </w:rPr>
        <w:t>*=0.09时的0.048扩大至σ*</w:t>
      </w:r>
      <w:r>
        <w:rPr>
          <w:rFonts w:ascii="Times New Roman" w:hAnsi="Times New Roman" w:eastAsia="宋体"/>
          <w:b w:val="0"/>
          <w:i w:val="0"/>
          <w:sz w:val="24"/>
        </w:rPr>
        <w:t>=0.20时的0.498，证实了"低波动加仓"功能在无杠杆下丧失。</w:t>
      </w:r>
    </w:p>
    <w:p>
      <w:pPr>
        <w:spacing w:before="200" w:after="60" w:line="276" w:lineRule="auto"/>
        <w:jc w:val="center"/>
      </w:pPr>
      <w:r>
        <w:rPr>
          <w:rFonts w:ascii="Times New Roman" w:hAnsi="Times New Roman" w:eastAsia="黑体"/>
          <w:b/>
          <w:i w:val="0"/>
          <w:sz w:val="21"/>
        </w:rPr>
        <w:t>表11　模拟：截断的不对称性（E[e^V]）</w:t>
      </w:r>
    </w:p>
    <w:tbl>
      <w:tblPr>
        <w:tblW w:type="auto" w:w="0"/>
        <w:jc w:val="center"/>
        <w:tblLayout w:type="autofit"/>
        <w:tblLook w:firstColumn="1" w:firstRow="1" w:lastColumn="0" w:lastRow="0" w:noHBand="0" w:noVBand="1" w:val="04A0"/>
        <w:tblW w:w="5000" w:type="pct"/>
      </w:tblPr>
      <w:tblGrid>
        <w:gridCol w:w="2078"/>
        <w:gridCol w:w="2078"/>
        <w:gridCol w:w="2078"/>
        <w:gridCol w:w="2078"/>
      </w:tblGrid>
      <w:tr>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σ</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Ē=1.0</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Ē=2.0</w:t>
            </w:r>
          </w:p>
        </w:tc>
        <w:tc>
          <w:tcPr>
            <w:tcW w:type="dxa" w:w="2078"/>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21"/>
              </w:rPr>
              <w:t>截断缺口</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0.09</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0.5538</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0.6014</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0.0476</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0.12</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0.6156</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0.7997</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0.1841</w:t>
            </w:r>
          </w:p>
        </w:tc>
      </w:tr>
      <w:tr>
        <w:tc>
          <w:tcPr>
            <w:tcW w:type="dxa" w:w="2078"/>
            <w:tcBorders>
              <w:top w:val="nil"/>
              <w:left w:val="nil"/>
              <w:bottom w:val="nil"/>
              <w:right w:val="nil"/>
            </w:tcBorders>
          </w:tcPr>
          <w:p>
            <w:pPr>
              <w:spacing w:line="240" w:lineRule="auto" w:before="20" w:after="20"/>
              <w:jc w:val="left"/>
            </w:pPr>
            <w:r/>
            <w:r>
              <w:rPr>
                <w:rFonts w:ascii="Times New Roman" w:hAnsi="Times New Roman" w:eastAsia="宋体"/>
                <w:b w:val="0"/>
                <w:i w:val="0"/>
                <w:sz w:val="21"/>
              </w:rPr>
              <w:t>0.16</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0.6580</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1.0344</w:t>
            </w:r>
          </w:p>
        </w:tc>
        <w:tc>
          <w:tcPr>
            <w:tcW w:type="dxa" w:w="2078"/>
            <w:tcBorders>
              <w:top w:val="nil"/>
              <w:left w:val="nil"/>
              <w:bottom w:val="nil"/>
              <w:right w:val="nil"/>
            </w:tcBorders>
          </w:tcPr>
          <w:p>
            <w:pPr>
              <w:spacing w:line="240" w:lineRule="auto" w:before="20" w:after="20"/>
              <w:jc w:val="center"/>
            </w:pPr>
            <w:r/>
            <w:r>
              <w:rPr>
                <w:rFonts w:ascii="Times New Roman" w:hAnsi="Times New Roman" w:eastAsia="宋体"/>
                <w:b w:val="0"/>
                <w:i w:val="0"/>
                <w:sz w:val="21"/>
              </w:rPr>
              <w:t>0.3764</w:t>
            </w:r>
          </w:p>
        </w:tc>
      </w:tr>
      <w:tr>
        <w:tc>
          <w:tcPr>
            <w:tcW w:type="dxa" w:w="2078"/>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21"/>
              </w:rPr>
              <w:t>0.20</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0.6632</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1.1608</w:t>
            </w:r>
          </w:p>
        </w:tc>
        <w:tc>
          <w:tcPr>
            <w:tcW w:type="dxa" w:w="2078"/>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21"/>
              </w:rPr>
              <w:t>0.4976</w:t>
            </w:r>
          </w:p>
        </w:tc>
      </w:tr>
    </w:tbl>
    <w:p>
      <w:pPr>
        <w:spacing w:before="0" w:after="60" w:line="360" w:lineRule="auto"/>
        <w:ind w:firstLine="480"/>
      </w:pPr>
      <w:r>
        <w:rPr>
          <w:rFonts w:ascii="Times New Roman" w:hAnsi="Times New Roman" w:eastAsia="宋体"/>
          <w:b/>
          <w:i w:val="0"/>
          <w:sz w:val="24"/>
        </w:rPr>
        <w:t>命题1（乘性叠加）。</w:t>
      </w:r>
      <w:r>
        <w:rPr>
          <w:rFonts w:ascii="Times New Roman" w:hAnsi="Times New Roman" w:eastAsia="宋体"/>
          <w:b w:val="0"/>
          <w:i w:val="0"/>
          <w:sz w:val="24"/>
        </w:rPr>
        <w:t xml:space="preserve"> 模拟显示 corr(cut_V, cut_D) 在+0.128至+0.156之间，为正；实证中同一统计量在σ</w:t>
      </w:r>
      <w:r>
        <w:rPr>
          <w:rFonts w:ascii="Times New Roman" w:hAnsi="Times New Roman" w:eastAsia="宋体"/>
          <w:b w:val="0"/>
          <w:i w:val="0"/>
          <w:sz w:val="24"/>
        </w:rPr>
        <w:t>*∈{3%, 5.5%, 9%, 12%}上为+0.067、+0.179、+0.082、+0.046，符号一致但量级更小。这一差异有明确来源：模拟中高波动状态与净值下跌被设定为完全同源，而现实中二者的重合只是部分的，因此模拟高估了两层削减的同步性。平均回撤控制乘子 E[φ] 随 σ*</w:t>
      </w:r>
      <w:r>
        <w:rPr>
          <w:rFonts w:ascii="Times New Roman" w:hAnsi="Times New Roman" w:eastAsia="宋体"/>
          <w:b w:val="0"/>
          <w:i w:val="0"/>
          <w:sz w:val="24"/>
        </w:rPr>
        <w:t xml:space="preserve"> 上升而从0.525单调降至0.222，再次指向削减规模随目标波动放大这一机制。</w:t>
      </w:r>
    </w:p>
    <w:p>
      <w:pPr>
        <w:spacing w:before="0" w:after="60" w:line="360" w:lineRule="auto"/>
        <w:ind w:firstLine="480"/>
      </w:pPr>
      <w:r>
        <w:rPr>
          <w:rFonts w:ascii="Times New Roman" w:hAnsi="Times New Roman" w:eastAsia="宋体"/>
          <w:b/>
          <w:i w:val="0"/>
          <w:sz w:val="24"/>
        </w:rPr>
        <w:t>推论（杠杆能否化解）。</w:t>
      </w:r>
      <w:r>
        <w:rPr>
          <w:rFonts w:ascii="Times New Roman" w:hAnsi="Times New Roman" w:eastAsia="宋体"/>
          <w:b w:val="0"/>
          <w:i w:val="0"/>
          <w:sz w:val="24"/>
        </w:rPr>
        <w:t xml:space="preserve"> 下表显示，在回撤控制开启时，将 Ē 从1放松至2，σ*=0.16时的年化收益仅从0.99%升至1.33%，提升34%；而在回撤控制关闭时，同样放松杠杆使年化从4.04%升至5.86%，提升45%。更重要的是，内点最优在 Ē=2 时依然存在，这与第6.5节的实证结果一致，证实了下述推论：由于回撤控制的削减是乘性的，杠杆只能放大第一层的产出，无法对抗第二层的削减比例。</w:t>
      </w:r>
    </w:p>
    <w:p>
      <w:pPr>
        <w:spacing w:before="200" w:after="60" w:line="276" w:lineRule="auto"/>
        <w:jc w:val="center"/>
      </w:pPr>
      <w:r>
        <w:rPr>
          <w:rFonts w:ascii="Times New Roman" w:hAnsi="Times New Roman" w:eastAsia="黑体"/>
          <w:b/>
          <w:i w:val="0"/>
          <w:sz w:val="21"/>
        </w:rPr>
        <w:t>表12　模拟：杠杆的作用（年化%）</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Ē</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σ=0.055</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σ=0.16</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σ=0.055</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σ=0.16</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2.24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4.04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0.78</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0.99</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2.0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2.20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5.86</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0.77</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1.33</w:t>
            </w:r>
          </w:p>
        </w:tc>
      </w:tr>
    </w:tbl>
    <w:p>
      <w:pPr>
        <w:spacing w:before="0" w:after="60" w:line="360" w:lineRule="auto"/>
        <w:ind w:firstLine="480"/>
      </w:pPr>
      <w:r>
        <w:rPr>
          <w:rFonts w:ascii="Times New Roman" w:hAnsi="Times New Roman" w:eastAsia="宋体"/>
          <w:b/>
          <w:i w:val="0"/>
          <w:sz w:val="24"/>
        </w:rPr>
        <w:t>关于命题2（内点最优）的说明。</w:t>
      </w:r>
      <w:r>
        <w:rPr>
          <w:rFonts w:ascii="Times New Roman" w:hAnsi="Times New Roman" w:eastAsia="宋体"/>
          <w:b w:val="0"/>
          <w:i w:val="0"/>
          <w:sz w:val="24"/>
        </w:rPr>
        <w:t xml:space="preserve"> 模拟中，回撤控制对"收益-目标波动"斜率的压缩极为显著：关闭回撤控制时，σ*从0.055升至0.16带来年化收益增加1.80个百分点；开启后仅增加0.21个百分点，边际收益被压缩88%。但模拟未复现实证中观察到的绝对下降，即内点最优。</w:t>
      </w:r>
    </w:p>
    <w:p>
      <w:pPr>
        <w:spacing w:before="0" w:after="60" w:line="360" w:lineRule="auto"/>
        <w:ind w:firstLine="480"/>
      </w:pPr>
      <w:r>
        <w:rPr>
          <w:rFonts w:ascii="Times New Roman" w:hAnsi="Times New Roman" w:eastAsia="宋体"/>
          <w:b w:val="0"/>
          <w:i w:val="0"/>
          <w:sz w:val="24"/>
        </w:rPr>
        <w:t>未能复现的原因在于模拟的简化：单一风险资产缺乏实证中的跨资产分散，回撤更深、回撤控制触发更早，经验条件 A2（敞口饱和）从一开始就成立，此时前沿自始至终平坦，观察不到先升后降。据此，内点最优的绝对形态需要"低目标波动区回撤控制基本不触发"这一前提，而该前提在单一资产设定下不成立。无论何种情形，"提高风险预算的边际收益被大幅压缩"这一核心结论在模拟与实证中均成立；也正因如此，本文在2.4.3节将命题2 明确表述为依赖 A2、A3 两项经验条件的比较静态命题，而非存在性定理。</w:t>
      </w:r>
    </w:p>
    <w:p>
      <w:pPr>
        <w:spacing w:before="320" w:after="200" w:line="360" w:lineRule="auto"/>
        <w:jc w:val="center"/>
      </w:pPr>
      <w:r>
        <w:rPr>
          <w:rFonts w:ascii="Times New Roman" w:hAnsi="Times New Roman" w:eastAsia="黑体"/>
          <w:b/>
          <w:i w:val="0"/>
          <w:sz w:val="30"/>
        </w:rPr>
        <w:t>六、稳健性检验</w:t>
      </w:r>
    </w:p>
    <w:p>
      <w:pPr>
        <w:spacing w:before="240" w:after="100" w:line="360" w:lineRule="auto"/>
      </w:pPr>
      <w:r>
        <w:rPr>
          <w:rFonts w:ascii="Times New Roman" w:hAnsi="Times New Roman" w:eastAsia="黑体"/>
          <w:b/>
          <w:i w:val="0"/>
          <w:sz w:val="26"/>
        </w:rPr>
        <w:t>6.1 剔除样本内最强资产</w:t>
      </w:r>
    </w:p>
    <w:p>
      <w:pPr>
        <w:spacing w:before="0" w:after="60" w:line="360" w:lineRule="auto"/>
        <w:ind w:firstLine="480"/>
      </w:pPr>
      <w:r>
        <w:rPr>
          <w:rFonts w:ascii="Times New Roman" w:hAnsi="Times New Roman" w:eastAsia="宋体"/>
          <w:b w:val="0"/>
          <w:i w:val="0"/>
          <w:sz w:val="24"/>
        </w:rPr>
        <w:t>纳指ETF在样本内年化21.13%，是全池最强资产。若策略的优异表现主要来自"押中纳指"，结论将缺乏普遍性。</w:t>
      </w:r>
    </w:p>
    <w:p>
      <w:pPr>
        <w:spacing w:before="200" w:after="60" w:line="276" w:lineRule="auto"/>
        <w:jc w:val="center"/>
      </w:pPr>
      <w:r>
        <w:rPr>
          <w:rFonts w:ascii="Times New Roman" w:hAnsi="Times New Roman" w:eastAsia="黑体"/>
          <w:b/>
          <w:i w:val="0"/>
          <w:sz w:val="21"/>
        </w:rPr>
        <w:t>表13　剔除检验（σ*=5.5%，DC开）</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场景</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年化%</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最大回撤%</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夏普</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卡玛</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全池（6资产）</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−4.15</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1.43</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1.56</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剔除纳指</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−4.20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1.45</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1.54</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剔除恒生</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6.56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−4.18</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1.49</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1.57</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剔除黄金</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5.60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−4.01</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1.32</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1.40</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剔除中证500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6.37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−4.65</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1.37</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剔除纳指+恒生</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5.94</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−4.29</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1.40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1.38</w:t>
            </w:r>
          </w:p>
        </w:tc>
      </w:tr>
    </w:tbl>
    <w:p>
      <w:pPr>
        <w:spacing w:before="0" w:after="60" w:line="360" w:lineRule="auto"/>
        <w:ind w:firstLine="480"/>
      </w:pPr>
      <w:r>
        <w:rPr>
          <w:rFonts w:ascii="Times New Roman" w:hAnsi="Times New Roman" w:eastAsia="宋体"/>
          <w:b w:val="0"/>
          <w:i w:val="0"/>
          <w:sz w:val="24"/>
        </w:rPr>
        <w:t>剔除纳指后，年化收益完全不变，仍为6.47%，夏普比率反而升至1.45。同时剔除纳指与恒生两个境外资产后，年化仍达5.94%、夏普1.40。策略的表现来自配置机制，而非单一幸运资产。黄金的剔除影响最大，年化降至5.60%，符合其在相关性矩阵中近乎独立的地位（与所有资产相关系数0.02—0.09）。</w:t>
      </w:r>
    </w:p>
    <w:p>
      <w:pPr>
        <w:spacing w:before="240" w:after="100" w:line="360" w:lineRule="auto"/>
      </w:pPr>
      <w:r>
        <w:rPr>
          <w:rFonts w:ascii="Times New Roman" w:hAnsi="Times New Roman" w:eastAsia="黑体"/>
          <w:b/>
          <w:i w:val="0"/>
          <w:sz w:val="26"/>
        </w:rPr>
        <w:t>6.2 子样本检验</w:t>
      </w:r>
    </w:p>
    <w:p>
      <w:pPr>
        <w:spacing w:before="200" w:after="60" w:line="276" w:lineRule="auto"/>
        <w:jc w:val="center"/>
      </w:pPr>
      <w:r>
        <w:rPr>
          <w:rFonts w:ascii="Times New Roman" w:hAnsi="Times New Roman" w:eastAsia="黑体"/>
          <w:b/>
          <w:i w:val="0"/>
          <w:sz w:val="21"/>
        </w:rPr>
        <w:t>表14　子样本检验</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区间</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年化%</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最大回撤%</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夏普</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卡玛</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2013-08 ~ 2017-12</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8.06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−3.90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1.64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2.07</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2013-08 ~ 2019-12</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7.66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−3.90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1.61</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1.97</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2018-01 ~ 2022-12</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4.87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−4.15</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1.17</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2020-01 ~ 2026-10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5.31</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−4.15</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1.24</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1.28</w:t>
            </w:r>
          </w:p>
        </w:tc>
      </w:tr>
    </w:tbl>
    <w:p>
      <w:pPr>
        <w:spacing w:before="0" w:after="60" w:line="360" w:lineRule="auto"/>
        <w:ind w:firstLine="480"/>
      </w:pPr>
      <w:r>
        <w:rPr>
          <w:rFonts w:ascii="Times New Roman" w:hAnsi="Times New Roman" w:eastAsia="宋体"/>
          <w:b w:val="0"/>
          <w:i w:val="0"/>
          <w:sz w:val="24"/>
        </w:rPr>
        <w:t>前半段表现优于后半段，年化7.66%对5.31%。这一衰减需要正视：2021年后A股进入长期震荡，纳指ETF在2022年下跌33%，黄金在2021—2022年横盘，多资产同时缺乏趋势时，趋势跟随策略天然吃亏。但即便在最差的2018—2022子样本，年化收益仍有4.87%，最大回撤维持在−4.15%，未出现失效。</w:t>
      </w:r>
    </w:p>
    <w:p>
      <w:pPr>
        <w:spacing w:before="240" w:after="100" w:line="360" w:lineRule="auto"/>
      </w:pPr>
      <w:r>
        <w:rPr>
          <w:rFonts w:ascii="Times New Roman" w:hAnsi="Times New Roman" w:eastAsia="黑体"/>
          <w:b/>
          <w:i w:val="0"/>
          <w:sz w:val="26"/>
        </w:rPr>
        <w:t>6.3 参数平原：排除过拟合</w:t>
      </w:r>
    </w:p>
    <w:p>
      <w:pPr>
        <w:spacing w:before="200" w:after="60" w:line="276" w:lineRule="auto"/>
        <w:jc w:val="center"/>
      </w:pPr>
      <w:r>
        <w:rPr>
          <w:rFonts w:ascii="Times New Roman" w:hAnsi="Times New Roman" w:eastAsia="黑体"/>
          <w:b/>
          <w:i w:val="0"/>
          <w:sz w:val="21"/>
        </w:rPr>
        <w:t>表15　参数敏感性（15个邻近组合）</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参数</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范围</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年化%</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最大回撤%</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夏普</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tv ∈ [4.5%, 6.5%] × MA ∈ [160, 240]</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15组</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5.62 ~ 6.79</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−3.99 ~ −4.65</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1.31 ~ 1.49</w:t>
            </w:r>
          </w:p>
        </w:tc>
      </w:tr>
    </w:tbl>
    <w:p>
      <w:pPr>
        <w:spacing w:before="0" w:after="60" w:line="360" w:lineRule="auto"/>
        <w:ind w:firstLine="480"/>
      </w:pPr>
      <w:r>
        <w:rPr>
          <w:rFonts w:ascii="Times New Roman" w:hAnsi="Times New Roman" w:eastAsia="宋体"/>
          <w:b w:val="0"/>
          <w:i w:val="0"/>
          <w:sz w:val="24"/>
        </w:rPr>
        <w:t>在15个邻近参数组合上，年化收益区间为5.62%—6.79%，最大回撤区间为−3.99%至−4.65%，夏普比率1.31—1.49。参数平原上无尖峰，所选参数（σ*=5.5%, MA200）不是网格搜索的产物，而是平原上的一个内点。</w:t>
      </w:r>
    </w:p>
    <w:p>
      <w:pPr>
        <w:spacing w:before="240" w:after="100" w:line="360" w:lineRule="auto"/>
      </w:pPr>
      <w:r>
        <w:rPr>
          <w:rFonts w:ascii="Times New Roman" w:hAnsi="Times New Roman" w:eastAsia="黑体"/>
          <w:b/>
          <w:i w:val="0"/>
          <w:sz w:val="26"/>
        </w:rPr>
        <w:t>6.4 数据校正对结论的影响</w:t>
      </w:r>
    </w:p>
    <w:p>
      <w:pPr>
        <w:spacing w:before="200" w:after="60" w:line="276" w:lineRule="auto"/>
        <w:jc w:val="center"/>
      </w:pPr>
      <w:r>
        <w:rPr>
          <w:rFonts w:ascii="Times New Roman" w:hAnsi="Times New Roman" w:eastAsia="黑体"/>
          <w:b/>
          <w:i w:val="0"/>
          <w:sz w:val="21"/>
        </w:rPr>
        <w:t>表16　份额折算校正的影响（2013-08起）</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资产</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未校正年化%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校正后年化%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偏差(pp)</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未校正波动%</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校正后波动%</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纳指ETF</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6.68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21.03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+14.35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31.2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21.6</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中证500ETF</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16.42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7.62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−8.80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74.5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28.1</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恒生ETF</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2.65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3.29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+0.64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20.6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21.0</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黄金ETF</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9.51</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9.51</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15.2</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15.2</w:t>
            </w:r>
          </w:p>
        </w:tc>
      </w:tr>
    </w:tbl>
    <w:p>
      <w:pPr>
        <w:spacing w:before="0" w:after="60" w:line="360" w:lineRule="auto"/>
        <w:ind w:firstLine="480"/>
      </w:pPr>
      <w:r>
        <w:rPr>
          <w:rFonts w:ascii="Times New Roman" w:hAnsi="Times New Roman" w:eastAsia="宋体"/>
          <w:b w:val="0"/>
          <w:i w:val="0"/>
          <w:sz w:val="24"/>
        </w:rPr>
        <w:t>注：本表"校正后"指对原始价格序列做异常点修复后的年化；正文表1与3.1节采用前复权全序列口径，纳指ETF对应21.13%。两口径相差约0.1个百分点，源于序列修复方式的差异，不影响本表结论的方向与量级。</w:t>
      </w:r>
    </w:p>
    <w:p>
      <w:pPr>
        <w:spacing w:before="0" w:after="60" w:line="360" w:lineRule="auto"/>
        <w:ind w:firstLine="480"/>
      </w:pPr>
      <w:r>
        <w:rPr>
          <w:rFonts w:ascii="Times New Roman" w:hAnsi="Times New Roman" w:eastAsia="宋体"/>
          <w:b w:val="0"/>
          <w:i w:val="0"/>
          <w:sz w:val="24"/>
        </w:rPr>
        <w:t>纳斯达克100 ETF 在2022-01-14的份额折算造成单日−80.45%的假跌，中证500 ETF 在2015-04-15造成单日+248.55%的假涨。若不做校正，纳指ETF的年化收益将被低估14.35个百分点，中证500ETF将被高估8.80个百分点，这足以颠倒任何基于ETF的实证结论。使用中国ETF数据时，扫描 |日收益|&gt;15% 的异常点应当成为估计年化收益之前的标准步骤。</w:t>
      </w:r>
    </w:p>
    <w:p>
      <w:pPr>
        <w:spacing w:before="240" w:after="100" w:line="360" w:lineRule="auto"/>
      </w:pPr>
      <w:r>
        <w:rPr>
          <w:rFonts w:ascii="Times New Roman" w:hAnsi="Times New Roman" w:eastAsia="黑体"/>
          <w:b/>
          <w:i w:val="0"/>
          <w:sz w:val="26"/>
        </w:rPr>
        <w:t>6.5 放松杠杆约束：假说H5的检验</w:t>
      </w:r>
    </w:p>
    <w:p>
      <w:pPr>
        <w:spacing w:before="0" w:after="60" w:line="360" w:lineRule="auto"/>
        <w:ind w:firstLine="480"/>
      </w:pPr>
      <w:r>
        <w:rPr>
          <w:rFonts w:ascii="Times New Roman" w:hAnsi="Times New Roman" w:eastAsia="宋体"/>
          <w:b w:val="0"/>
          <w:i w:val="0"/>
          <w:sz w:val="24"/>
        </w:rPr>
        <w:t>表17检验理论推论，即放松杠杆约束能否化解内点最优。</w:t>
      </w:r>
    </w:p>
    <w:p>
      <w:pPr>
        <w:spacing w:before="200" w:after="60" w:line="276" w:lineRule="auto"/>
        <w:jc w:val="center"/>
      </w:pPr>
      <w:r>
        <w:rPr>
          <w:rFonts w:ascii="Times New Roman" w:hAnsi="Times New Roman" w:eastAsia="黑体"/>
          <w:b/>
          <w:i w:val="0"/>
          <w:sz w:val="21"/>
        </w:rPr>
        <w:t>表17　有杠杆对照（Ē=2.0，融资利率3%）</w:t>
      </w:r>
    </w:p>
    <w:tbl>
      <w:tblPr>
        <w:tblW w:type="auto" w:w="0"/>
        <w:jc w:val="center"/>
        <w:tblLayout w:type="autofit"/>
        <w:tblLook w:firstColumn="1" w:firstRow="1" w:lastColumn="0" w:lastRow="0" w:noHBand="0" w:noVBand="1" w:val="04A0"/>
        <w:tblW w:w="5000" w:type="pct"/>
      </w:tblPr>
      <w:tblGrid>
        <w:gridCol w:w="1662"/>
        <w:gridCol w:w="1662"/>
        <w:gridCol w:w="1662"/>
        <w:gridCol w:w="1662"/>
        <w:gridCol w:w="1662"/>
      </w:tblGrid>
      <w:tr>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目标波动</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年化%（Ē=1）</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年化%（Ē=2）</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年化%（Ē=1）</w:t>
            </w:r>
          </w:p>
        </w:tc>
        <w:tc>
          <w:tcPr>
            <w:tcW w:type="dxa" w:w="1662"/>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年化%（Ē=2）</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3.0%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5.48</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5.48</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5.09</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5.09</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5.5%</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7.44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7.44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9.0%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9.80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10.14</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6.23</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6.32</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12.0%</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11.28</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12.46</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5.37</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6.34</w:t>
            </w:r>
          </w:p>
        </w:tc>
      </w:tr>
      <w:tr>
        <w:tc>
          <w:tcPr>
            <w:tcW w:type="dxa" w:w="1662"/>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峰值位置</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12.0%（末端）</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12.0%（末端）</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5.5%（内点）</w:t>
            </w:r>
          </w:p>
        </w:tc>
        <w:tc>
          <w:tcPr>
            <w:tcW w:type="dxa" w:w="1662"/>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5.5%（内点）</w:t>
            </w:r>
          </w:p>
        </w:tc>
      </w:tr>
      <w:tr>
        <w:tc>
          <w:tcPr>
            <w:tcW w:type="dxa" w:w="1662"/>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末端衰减</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+0.74pp</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+1.16pp</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+0.67pp</w:t>
            </w:r>
          </w:p>
        </w:tc>
        <w:tc>
          <w:tcPr>
            <w:tcW w:type="dxa" w:w="1662"/>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+0.14pp</w:t>
            </w:r>
          </w:p>
        </w:tc>
      </w:tr>
    </w:tbl>
    <w:p>
      <w:pPr>
        <w:spacing w:before="0" w:after="60" w:line="360" w:lineRule="auto"/>
        <w:ind w:firstLine="480"/>
      </w:pPr>
      <w:r>
        <w:rPr>
          <w:rFonts w:ascii="Times New Roman" w:hAnsi="Times New Roman" w:eastAsia="宋体"/>
          <w:b w:val="0"/>
          <w:i w:val="0"/>
          <w:sz w:val="24"/>
        </w:rPr>
        <w:t>内点最优在 Ē=2 时依然存在，峰值仍出现在σ*=5.5%，这与命题1的推论一致：回撤控制的乘性削减无法被杠杆化解。但杠杆确实缓解了衰减幅度，末端衰减从0.67pp（Ē=1）降至0.14pp（Ē=2）。原因在于，当目标波动较高时，波动率目标层需要更大的敞口，而 Ē=1 会截断这一需求；放松至 Ē=2 后，第一层的功能恢复，部分抵消了第二层的削减。</w:t>
      </w:r>
    </w:p>
    <w:p>
      <w:pPr>
        <w:spacing w:before="0" w:after="60" w:line="360" w:lineRule="auto"/>
        <w:ind w:firstLine="480"/>
      </w:pPr>
      <w:r>
        <w:rPr>
          <w:rFonts w:ascii="Times New Roman" w:hAnsi="Times New Roman" w:eastAsia="宋体"/>
          <w:b w:val="0"/>
          <w:i w:val="0"/>
          <w:sz w:val="24"/>
        </w:rPr>
        <w:t>这一结果同时具有实践含义：对于能够使用杠杆的机构，回撤控制的收益侵蚀较轻；对于不能使用杠杆的零售投资者，侵蚀最为严重。这构成了本文政策含义的基础。</w:t>
      </w:r>
    </w:p>
    <w:p>
      <w:pPr>
        <w:spacing w:before="240" w:after="100" w:line="360" w:lineRule="auto"/>
      </w:pPr>
      <w:r>
        <w:rPr>
          <w:rFonts w:ascii="Times New Roman" w:hAnsi="Times New Roman" w:eastAsia="黑体"/>
          <w:b/>
          <w:i w:val="0"/>
          <w:sz w:val="26"/>
        </w:rPr>
        <w:t>6.6 关闭战术信号：结论是否依赖信号有效性？</w:t>
      </w:r>
    </w:p>
    <w:p>
      <w:pPr>
        <w:spacing w:before="0" w:after="60" w:line="360" w:lineRule="auto"/>
        <w:ind w:firstLine="480"/>
      </w:pPr>
      <w:r>
        <w:rPr>
          <w:rFonts w:ascii="Times New Roman" w:hAnsi="Times New Roman" w:eastAsia="宋体"/>
          <w:b w:val="0"/>
          <w:i w:val="0"/>
          <w:sz w:val="24"/>
        </w:rPr>
        <w:t>一个必须排除的替代解释是：前沿分岔可能并非两层风控交互的产物，而是本文战术信号（趋势状态、价格分位、M1-M2剪刀差）在特定参数下失效的副产品。第2.3节已指出中国市场的月度横截面动量不显著，这加重了上述担忧。</w:t>
      </w:r>
    </w:p>
    <w:p>
      <w:pPr>
        <w:spacing w:before="0" w:after="60" w:line="360" w:lineRule="auto"/>
        <w:ind w:firstLine="480"/>
      </w:pPr>
      <w:r>
        <w:rPr>
          <w:rFonts w:ascii="Times New Roman" w:hAnsi="Times New Roman" w:eastAsia="宋体"/>
          <w:b w:val="0"/>
          <w:i w:val="0"/>
          <w:sz w:val="24"/>
        </w:rPr>
        <w:t>为排除这一可能，本文关闭全部战术信号，仅保留纯风险 overlay，即以逆波动率加权构建资产组合、按目标波动缩放敞口、并可叠加回撤控制。此时策略不含任何预测成分，纯粹是对已实现风险的机械反应。</w:t>
      </w:r>
    </w:p>
    <w:p>
      <w:pPr>
        <w:spacing w:before="200" w:after="60" w:line="276" w:lineRule="auto"/>
        <w:jc w:val="center"/>
      </w:pPr>
      <w:r>
        <w:rPr>
          <w:rFonts w:ascii="Times New Roman" w:hAnsi="Times New Roman" w:eastAsia="黑体"/>
          <w:b/>
          <w:i w:val="0"/>
          <w:sz w:val="21"/>
        </w:rPr>
        <w:t>表18　关闭战术信号后的前沿（纯风险 overlay，Ē=1）</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目标波动 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DC关 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差值(pp)</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DC开 最大回撤%</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Ē=2 DC开 年化%</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3.0%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5.28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4.89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4.89</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4.0%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6.00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5.65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−0.35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−4.04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5.65</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7.07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6.32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−0.75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−4.27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6.32</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7.0%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8.11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6.03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−2.08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−4.85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6.06</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8.0%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8.79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6.87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−1.92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−5.71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7.05</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10.0%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10.03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6.13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−3.90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−5.93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5.69</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12.0%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10.95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5.92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−5.03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−6.92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6.55</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15.0%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11.96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5.75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−6.21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−6.92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7.76</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峰值位置</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15%（末端）</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8%（内点）</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15%（末端）</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末端衰减</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0.00pp</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1.12pp</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0.00pp</w:t>
            </w:r>
          </w:p>
        </w:tc>
      </w:tr>
    </w:tbl>
    <w:p>
      <w:pPr>
        <w:spacing w:before="200" w:after="60" w:line="240" w:lineRule="auto"/>
        <w:jc w:val="center"/>
      </w:pPr>
      <w:r>
        <w:drawing>
          <wp:inline xmlns:a="http://schemas.openxmlformats.org/drawingml/2006/main" xmlns:pic="http://schemas.openxmlformats.org/drawingml/2006/picture">
            <wp:extent cx="3960000" cy="2257512"/>
            <wp:docPr id="2" name="Picture 2"/>
            <wp:cNvGraphicFramePr>
              <a:graphicFrameLocks noChangeAspect="1"/>
            </wp:cNvGraphicFramePr>
            <a:graphic>
              <a:graphicData uri="http://schemas.openxmlformats.org/drawingml/2006/picture">
                <pic:pic>
                  <pic:nvPicPr>
                    <pic:cNvPr id="0" name="docx_fig3.png"/>
                    <pic:cNvPicPr/>
                  </pic:nvPicPr>
                  <pic:blipFill>
                    <a:blip r:embed="rId12"/>
                    <a:stretch>
                      <a:fillRect/>
                    </a:stretch>
                  </pic:blipFill>
                  <pic:spPr>
                    <a:xfrm>
                      <a:off x="0" y="0"/>
                      <a:ext cx="3960000" cy="2257512"/>
                    </a:xfrm>
                    <a:prstGeom prst="rect"/>
                  </pic:spPr>
                </pic:pic>
              </a:graphicData>
            </a:graphic>
          </wp:inline>
        </w:drawing>
      </w:r>
    </w:p>
    <w:p>
      <w:pPr>
        <w:spacing w:before="40" w:after="200" w:line="276" w:lineRule="auto"/>
        <w:jc w:val="center"/>
      </w:pPr>
      <w:r>
        <w:rPr>
          <w:rFonts w:ascii="Times New Roman" w:hAnsi="Times New Roman" w:eastAsia="黑体"/>
          <w:b/>
          <w:i w:val="0"/>
          <w:sz w:val="21"/>
        </w:rPr>
        <w:t>图3　关闭全部战术信号后，前沿分岔依然存在（圈注：单峰顶点）</w:t>
      </w:r>
    </w:p>
    <w:p>
      <w:pPr>
        <w:spacing w:before="0" w:after="60" w:line="360" w:lineRule="auto"/>
        <w:ind w:firstLine="480"/>
      </w:pPr>
      <w:r>
        <w:rPr>
          <w:rFonts w:ascii="Times New Roman" w:hAnsi="Times New Roman" w:eastAsia="宋体"/>
          <w:b w:val="0"/>
          <w:i w:val="0"/>
          <w:sz w:val="24"/>
        </w:rPr>
        <w:t>关闭回撤控制时，前沿依然单调递增，从5.28%升至11.96%，与含信号的情形完全一致，分岔与信号无关。开启回撤控制时，前沿转为单峰：峰值6.87%出现在 σ</w:t>
      </w:r>
      <w:r>
        <w:rPr>
          <w:rFonts w:ascii="Times New Roman" w:hAnsi="Times New Roman" w:eastAsia="宋体"/>
          <w:b w:val="0"/>
          <w:i w:val="0"/>
          <w:sz w:val="24"/>
        </w:rPr>
        <w:t>*=8%，此后下降至5.75%（σ*</w:t>
      </w:r>
      <w:r>
        <w:rPr>
          <w:rFonts w:ascii="Times New Roman" w:hAnsi="Times New Roman" w:eastAsia="宋体"/>
          <w:b w:val="0"/>
          <w:i w:val="0"/>
          <w:sz w:val="24"/>
        </w:rPr>
        <w:t>=15%），末端衰减1.12pp（图3）。也就是说，分岔在完全不含预测成分的条件下依然成立。</w:t>
      </w:r>
    </w:p>
    <w:p>
      <w:pPr>
        <w:spacing w:before="0" w:after="60" w:line="360" w:lineRule="auto"/>
        <w:ind w:firstLine="480"/>
      </w:pPr>
      <w:r>
        <w:rPr>
          <w:rFonts w:ascii="Times New Roman" w:hAnsi="Times New Roman" w:eastAsia="宋体"/>
          <w:b w:val="0"/>
          <w:i w:val="0"/>
          <w:sz w:val="24"/>
        </w:rPr>
        <w:t>回撤控制的成本高度集中于高目标波动区。低目标波动区（σ</w:t>
      </w:r>
      <w:r>
        <w:rPr>
          <w:rFonts w:ascii="Times New Roman" w:hAnsi="Times New Roman" w:eastAsia="宋体"/>
          <w:b w:val="0"/>
          <w:i w:val="0"/>
          <w:sz w:val="24"/>
        </w:rPr>
        <w:t>*≤5.5%）的年均收益仅从6.18%降至5.75%，相差0.43pp；而高目标波动区（σ*</w:t>
      </w:r>
      <w:r>
        <w:rPr>
          <w:rFonts w:ascii="Times New Roman" w:hAnsi="Times New Roman" w:eastAsia="宋体"/>
          <w:b w:val="0"/>
          <w:i w:val="0"/>
          <w:sz w:val="24"/>
        </w:rPr>
        <w:t>≥10%）从10.98%降至5.93%，相差5.05pp，约为前者的12倍。成本为何如此集中，决定了内点最优是否存在：在低目标波动区，回撤控制几乎不触发，收益损失很小；在高目标波动区，回撤控制频繁触发，收益损失急剧放大，最终超过提高风险预算带来的收益增量。</w:t>
      </w:r>
    </w:p>
    <w:p>
      <w:pPr>
        <w:spacing w:before="0" w:after="60" w:line="360" w:lineRule="auto"/>
        <w:ind w:firstLine="480"/>
      </w:pPr>
      <w:r>
        <w:rPr>
          <w:rFonts w:ascii="Times New Roman" w:hAnsi="Times New Roman" w:eastAsia="宋体"/>
          <w:b w:val="0"/>
          <w:i w:val="0"/>
          <w:sz w:val="24"/>
        </w:rPr>
        <w:t>此外，Ē=2 时峰值回到网格末端，7.76%（σ*=15%），说明杠杆虽不能消除分岔，但足以使其在本样本内不再显著。</w:t>
      </w:r>
    </w:p>
    <w:p>
      <w:pPr>
        <w:spacing w:before="0" w:after="60" w:line="360" w:lineRule="auto"/>
        <w:ind w:firstLine="480"/>
      </w:pPr>
      <w:r>
        <w:rPr>
          <w:rFonts w:ascii="Times New Roman" w:hAnsi="Times New Roman" w:eastAsia="宋体"/>
          <w:b/>
          <w:i w:val="0"/>
          <w:sz w:val="24"/>
        </w:rPr>
        <w:t>结论：前沿分岔源自两层风控的交互本身，而非特定战术信号的失效。</w:t>
      </w:r>
      <w:r>
        <w:rPr>
          <w:rFonts w:ascii="Times New Roman" w:hAnsi="Times New Roman" w:eastAsia="宋体"/>
          <w:b w:val="0"/>
          <w:i w:val="0"/>
          <w:sz w:val="24"/>
        </w:rPr>
        <w:t xml:space="preserve"> 这一检验同时回应了第2.3节提出的本土证据担忧，即即使在中国这样一个趋势信号偏弱的市场中，该机制依然成立。</w:t>
      </w:r>
    </w:p>
    <w:p>
      <w:pPr>
        <w:spacing w:before="240" w:after="100" w:line="360" w:lineRule="auto"/>
      </w:pPr>
      <w:r>
        <w:rPr>
          <w:rFonts w:ascii="Times New Roman" w:hAnsi="Times New Roman" w:eastAsia="黑体"/>
          <w:b/>
          <w:i w:val="0"/>
          <w:sz w:val="26"/>
        </w:rPr>
        <w:t>6.7 参数与成本敏感性：结论的稳健性边界</w:t>
      </w:r>
    </w:p>
    <w:p>
      <w:pPr>
        <w:spacing w:before="0" w:after="60" w:line="360" w:lineRule="auto"/>
        <w:ind w:firstLine="480"/>
      </w:pPr>
      <w:r>
        <w:rPr>
          <w:rFonts w:ascii="Times New Roman" w:hAnsi="Times New Roman" w:eastAsia="宋体"/>
          <w:b w:val="0"/>
          <w:i w:val="0"/>
          <w:sz w:val="24"/>
        </w:rPr>
        <w:t>前文各项检验（剔除资产、子样本、参数平原、数据校正、放松杠杆、关闭信号）考察的是结论对数据与环境变化的稳健性。本节考察其余几项尚未处理的敏感性，其中第一项给出的结果是否定性的，本文如实报告。</w:t>
      </w:r>
    </w:p>
    <w:p>
      <w:pPr>
        <w:spacing w:before="0" w:after="60" w:line="360" w:lineRule="auto"/>
        <w:ind w:firstLine="480"/>
      </w:pPr>
      <w:r>
        <w:rPr>
          <w:rFonts w:ascii="Times New Roman" w:hAnsi="Times New Roman" w:eastAsia="宋体"/>
          <w:b w:val="0"/>
          <w:i w:val="0"/>
          <w:sz w:val="24"/>
        </w:rPr>
        <w:t>前沿的单峰形状是否只是"阈值恰好设成了基准档"的产物？本文以四组触发/退出阈值与仓位乘子重跑前沿扫描，结果见表19。</w:t>
      </w:r>
    </w:p>
    <w:p>
      <w:pPr>
        <w:spacing w:before="200" w:after="60" w:line="276" w:lineRule="auto"/>
        <w:jc w:val="center"/>
      </w:pPr>
      <w:r>
        <w:rPr>
          <w:rFonts w:ascii="Times New Roman" w:hAnsi="Times New Roman" w:eastAsia="黑体"/>
          <w:b/>
          <w:i w:val="0"/>
          <w:sz w:val="21"/>
        </w:rPr>
        <w:t>表19　回撤控制阈值的敏感性：前沿形状是否依赖阈值</w:t>
      </w:r>
    </w:p>
    <w:tbl>
      <w:tblPr>
        <w:tblW w:type="auto" w:w="0"/>
        <w:jc w:val="center"/>
        <w:tblLayout w:type="autofit"/>
        <w:tblLook w:firstColumn="1" w:firstRow="1" w:lastColumn="0" w:lastRow="0" w:noHBand="0" w:noVBand="1" w:val="04A0"/>
        <w:tblW w:w="5000" w:type="pct"/>
      </w:tblPr>
      <w:tblGrid>
        <w:gridCol w:w="1187"/>
        <w:gridCol w:w="1187"/>
        <w:gridCol w:w="1187"/>
        <w:gridCol w:w="1187"/>
        <w:gridCol w:w="1187"/>
        <w:gridCol w:w="1187"/>
        <w:gridCol w:w="1187"/>
      </w:tblGrid>
      <w:tr>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参数组（触发线；仓位乘子）</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DC开峰值 σ</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峰值年化%</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末端年化%</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末端衰减(pp)</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DC开内点最优</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DC关内点最优</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基准（−1.5/−2.5/−3.5%；×0.70/0.40/0.15）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5.37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严格（−1/−2/−3%；×0.60/0.30/0.10）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6.37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6.04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0.33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宽松（−2/−4/−6%；×0.80/0.50/0.25）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12.0%（末端）</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7.86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7.86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0.00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r>
      <w:tr>
        <w:tc>
          <w:tcPr>
            <w:tcW w:type="dxa" w:w="1187"/>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极宽（−3/−5/−8%；×0.85/0.60/0.35）</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12.0%（末端）</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9.13</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9.13</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0.00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否</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否</w:t>
            </w:r>
          </w:p>
        </w:tc>
      </w:tr>
    </w:tbl>
    <w:p>
      <w:pPr>
        <w:spacing w:before="0" w:after="60" w:line="360" w:lineRule="auto"/>
        <w:ind w:firstLine="480"/>
      </w:pPr>
      <w:r>
        <w:rPr>
          <w:rFonts w:ascii="Times New Roman" w:hAnsi="Times New Roman" w:eastAsia="宋体"/>
          <w:b w:val="0"/>
          <w:i w:val="0"/>
          <w:sz w:val="24"/>
        </w:rPr>
        <w:t>结果须分两面解读。在全部四组阈值下，关闭回撤控制时的前沿始终单调递增，"DC关内点最优"一列全为"否"，说明"无回撤控制则前沿单调"这一基准事实不受阈值影响，本文的对照组是稳定的。但被检验的一面不成立：内点最优仅在基准组与严格组出现，宽松组与极宽组的前沿仍单调递增；且即便在出现内点最优的两组中，峰值位置也不一致，分别为5.5%与9.0%，末端衰减幅度相差三倍以上，1.10pp对0.33pp。</w:t>
      </w:r>
      <w:r>
        <w:rPr>
          <w:rFonts w:ascii="Times New Roman" w:hAnsi="Times New Roman" w:eastAsia="宋体"/>
          <w:b/>
          <w:i w:val="0"/>
          <w:sz w:val="24"/>
        </w:rPr>
        <w:t>因此本文不主张"叠加回撤控制必然产生内点最优"。</w:t>
      </w:r>
    </w:p>
    <w:p>
      <w:pPr>
        <w:spacing w:before="200" w:after="60" w:line="240" w:lineRule="auto"/>
        <w:jc w:val="center"/>
      </w:pPr>
      <w:r>
        <w:drawing>
          <wp:inline xmlns:a="http://schemas.openxmlformats.org/drawingml/2006/main" xmlns:pic="http://schemas.openxmlformats.org/drawingml/2006/picture">
            <wp:extent cx="5277600" cy="1906981"/>
            <wp:docPr id="3" name="Picture 3"/>
            <wp:cNvGraphicFramePr>
              <a:graphicFrameLocks noChangeAspect="1"/>
            </wp:cNvGraphicFramePr>
            <a:graphic>
              <a:graphicData uri="http://schemas.openxmlformats.org/drawingml/2006/picture">
                <pic:pic>
                  <pic:nvPicPr>
                    <pic:cNvPr id="0" name="docx_fig4.png"/>
                    <pic:cNvPicPr/>
                  </pic:nvPicPr>
                  <pic:blipFill>
                    <a:blip r:embed="rId13"/>
                    <a:stretch>
                      <a:fillRect/>
                    </a:stretch>
                  </pic:blipFill>
                  <pic:spPr>
                    <a:xfrm>
                      <a:off x="0" y="0"/>
                      <a:ext cx="5277600" cy="1906981"/>
                    </a:xfrm>
                    <a:prstGeom prst="rect"/>
                  </pic:spPr>
                </pic:pic>
              </a:graphicData>
            </a:graphic>
          </wp:inline>
        </w:drawing>
      </w:r>
    </w:p>
    <w:p>
      <w:pPr>
        <w:spacing w:before="40" w:after="200" w:line="276" w:lineRule="auto"/>
        <w:jc w:val="center"/>
      </w:pPr>
      <w:r>
        <w:rPr>
          <w:rFonts w:ascii="Times New Roman" w:hAnsi="Times New Roman" w:eastAsia="黑体"/>
          <w:b/>
          <w:i w:val="0"/>
          <w:sz w:val="21"/>
        </w:rPr>
        <w:t>图4　回撤控制成本的分离与条件性（A：表10；B：表19）</w:t>
      </w:r>
    </w:p>
    <w:p>
      <w:pPr>
        <w:spacing w:before="0" w:after="60" w:line="360" w:lineRule="auto"/>
        <w:ind w:firstLine="480"/>
      </w:pPr>
      <w:r>
        <w:rPr>
          <w:rFonts w:ascii="Times New Roman" w:hAnsi="Times New Roman" w:eastAsia="宋体"/>
          <w:b w:val="0"/>
          <w:i w:val="0"/>
          <w:sz w:val="24"/>
        </w:rPr>
        <w:t>这一结果落在本文框架之内，并非异常。命题2 把内点最优建立在经验条件 A2（有效敞口随 σ</w:t>
      </w:r>
      <w:r>
        <w:rPr>
          <w:rFonts w:ascii="Times New Roman" w:hAnsi="Times New Roman" w:eastAsia="宋体"/>
          <w:b w:val="0"/>
          <w:i w:val="0"/>
          <w:sz w:val="24"/>
        </w:rPr>
        <w:t>* 饱和）之上：回撤阈值放宽到 −2%/−4%/−6% 及以上时，触发频率大幅下降，有效敞口随 σ*</w:t>
      </w:r>
      <w:r>
        <w:rPr>
          <w:rFonts w:ascii="Times New Roman" w:hAnsi="Times New Roman" w:eastAsia="宋体"/>
          <w:b w:val="0"/>
          <w:i w:val="0"/>
          <w:sz w:val="24"/>
        </w:rPr>
        <w:t xml:space="preserve"> 持续增长，A2 失效，前沿自然恢复单调。阈值敏感性检验验证的正是命题2 的条件性：本文的框架有能力预测"在何种情形下现象会消失"，而不只是拟合已观测到的现象。</w:t>
      </w:r>
    </w:p>
    <w:p>
      <w:pPr>
        <w:spacing w:before="0" w:after="60" w:line="360" w:lineRule="auto"/>
        <w:ind w:firstLine="480"/>
      </w:pPr>
      <w:r>
        <w:rPr>
          <w:rFonts w:ascii="Times New Roman" w:hAnsi="Times New Roman" w:eastAsia="宋体"/>
          <w:b w:val="0"/>
          <w:i w:val="0"/>
          <w:sz w:val="24"/>
        </w:rPr>
        <w:t>这一边界同时具有实务含义：现实中"固收+"产品的回撤承诺（多为"年度不亏损"或"最大回撤不超过5%"）对应的正是本文的严格区间，本文结论对其适用；而对回撤容忍度较高（如−8%以上）的产品，回撤控制的成本显著更低。</w:t>
      </w:r>
    </w:p>
    <w:p>
      <w:pPr>
        <w:spacing w:before="0" w:after="60" w:line="360" w:lineRule="auto"/>
        <w:ind w:firstLine="480"/>
      </w:pPr>
      <w:r>
        <w:rPr>
          <w:rFonts w:ascii="Times New Roman" w:hAnsi="Times New Roman" w:eastAsia="宋体"/>
          <w:b w:val="0"/>
          <w:i w:val="0"/>
          <w:sz w:val="24"/>
        </w:rPr>
        <w:t>交易成本是第二项敏感性。本文主结果按单边万三计费，这一假设若被放松，内点最优是否还成立？表20给出万六与万十二的结果。</w:t>
      </w:r>
    </w:p>
    <w:p>
      <w:pPr>
        <w:spacing w:before="200" w:after="60" w:line="276" w:lineRule="auto"/>
        <w:jc w:val="center"/>
      </w:pPr>
      <w:r>
        <w:rPr>
          <w:rFonts w:ascii="Times New Roman" w:hAnsi="Times New Roman" w:eastAsia="黑体"/>
          <w:b/>
          <w:i w:val="0"/>
          <w:sz w:val="21"/>
        </w:rPr>
        <w:t>表20　交易成本敏感性（DC开）</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交易成本</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峰值 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峰值年化%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末端年化%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末端衰减(pp)</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内点最优</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万三（基准）</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5.37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是</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万六</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6.41</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5.15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1.26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是</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万十二</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5.5%</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6.03</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3.89</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2.14</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是</w:t>
            </w:r>
          </w:p>
        </w:tc>
      </w:tr>
    </w:tbl>
    <w:p>
      <w:pPr>
        <w:spacing w:before="0" w:after="60" w:line="360" w:lineRule="auto"/>
        <w:ind w:firstLine="480"/>
      </w:pPr>
      <w:r>
        <w:rPr>
          <w:rFonts w:ascii="Times New Roman" w:hAnsi="Times New Roman" w:eastAsia="宋体"/>
          <w:b w:val="0"/>
          <w:i w:val="0"/>
          <w:sz w:val="24"/>
        </w:rPr>
        <w:t>结论对交易成本假设是稳健的，且方向明确：成本越高，内点最优越明显。当单边成本提高到万十二，即为基准的4倍、已接近ETF场内交易成本的上限时，峰值位置仍稳定在σ*=5.5%，但末端衰减从1.10pp扩大至2.14pp。其机制是直接的——回撤控制在高目标波动区的触发更频繁，换手更高，因而对交易成本更敏感；第6.6节已报告本样本内年换手率最高达3.03倍。可见交易成本放大而非削弱本文识别的机制。</w:t>
      </w:r>
    </w:p>
    <w:p>
      <w:pPr>
        <w:spacing w:before="0" w:after="60" w:line="360" w:lineRule="auto"/>
        <w:ind w:firstLine="480"/>
      </w:pPr>
      <w:r>
        <w:rPr>
          <w:rFonts w:ascii="Times New Roman" w:hAnsi="Times New Roman" w:eastAsia="宋体"/>
          <w:b w:val="0"/>
          <w:i w:val="0"/>
          <w:sz w:val="24"/>
        </w:rPr>
        <w:t>除回撤阈值外，本文还检验了三类设定：波动率估计窗口（资产层60日改120日、组合协方差250日改125日）、调仓频率（月度改双周与季度）、以及回撤控制的函数形式（三档滞回改为连续线性 ramp，令 D=−3.5% 时 φ=0.15 以保持与基准档位一致）。每个变体均重跑前沿扫描。</w:t>
      </w:r>
    </w:p>
    <w:p>
      <w:pPr>
        <w:spacing w:before="200" w:after="60" w:line="276" w:lineRule="auto"/>
        <w:jc w:val="center"/>
      </w:pPr>
      <w:r>
        <w:rPr>
          <w:rFonts w:ascii="Times New Roman" w:hAnsi="Times New Roman" w:eastAsia="黑体"/>
          <w:b/>
          <w:i w:val="0"/>
          <w:sz w:val="21"/>
        </w:rPr>
        <w:t>表21　估计方法、调仓频率与回撤控制形式的敏感性</w:t>
      </w:r>
    </w:p>
    <w:tbl>
      <w:tblPr>
        <w:tblW w:type="auto" w:w="0"/>
        <w:jc w:val="center"/>
        <w:tblLayout w:type="autofit"/>
        <w:tblLook w:firstColumn="1" w:firstRow="1" w:lastColumn="0" w:lastRow="0" w:noHBand="0" w:noVBand="1" w:val="04A0"/>
        <w:tblW w:w="5000" w:type="pct"/>
      </w:tblPr>
      <w:tblGrid>
        <w:gridCol w:w="1039"/>
        <w:gridCol w:w="1039"/>
        <w:gridCol w:w="1039"/>
        <w:gridCol w:w="1039"/>
        <w:gridCol w:w="1039"/>
        <w:gridCol w:w="1039"/>
        <w:gridCol w:w="1039"/>
        <w:gridCol w:w="1039"/>
      </w:tblGrid>
      <w:tr>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变体</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DC关内点最优</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DC开峰值 σ</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峰值年化%</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末端年化%</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末端衰减(pp)</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DC开内点最优</w:t>
            </w:r>
          </w:p>
        </w:tc>
        <w:tc>
          <w:tcPr>
            <w:tcW w:type="dxa" w:w="1039"/>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σ=12%处成本(pp)</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基准（月度/60日/250日/三档滞回）</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6.47</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5.37</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5.91</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资产波动窗120日</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6.52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4.84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1.68</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6.06</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组合协方差窗125日</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6.82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3.80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3.02</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7.40</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双周调仓</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7.20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5.94</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1.27</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5.92</w:t>
            </w:r>
          </w:p>
        </w:tc>
      </w:tr>
      <w:tr>
        <w:tc>
          <w:tcPr>
            <w:tcW w:type="dxa" w:w="1039"/>
            <w:tcBorders>
              <w:top w:val="nil"/>
              <w:left w:val="nil"/>
              <w:bottom w:val="nil"/>
              <w:right w:val="nil"/>
            </w:tcBorders>
          </w:tcPr>
          <w:p>
            <w:pPr>
              <w:spacing w:line="240" w:lineRule="auto" w:before="20" w:after="20"/>
              <w:jc w:val="left"/>
            </w:pPr>
            <w:r/>
            <w:r>
              <w:rPr>
                <w:rFonts w:ascii="Times New Roman" w:hAnsi="Times New Roman" w:eastAsia="宋体"/>
                <w:b w:val="0"/>
                <w:i w:val="0"/>
                <w:sz w:val="17"/>
              </w:rPr>
              <w:t>季度调仓</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6.37</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6.30</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0.07</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是</w:t>
            </w:r>
          </w:p>
        </w:tc>
        <w:tc>
          <w:tcPr>
            <w:tcW w:type="dxa" w:w="1039"/>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4.10</w:t>
            </w:r>
          </w:p>
        </w:tc>
      </w:tr>
      <w:tr>
        <w:tc>
          <w:tcPr>
            <w:tcW w:type="dxa" w:w="1039"/>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连续线性 ramp</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12.0%（末端）</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7.03</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7.03</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0.00</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否</w:t>
            </w:r>
          </w:p>
        </w:tc>
        <w:tc>
          <w:tcPr>
            <w:tcW w:type="dxa" w:w="1039"/>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4.25</w:t>
            </w:r>
          </w:p>
        </w:tc>
      </w:tr>
    </w:tbl>
    <w:p>
      <w:pPr>
        <w:spacing w:before="0" w:after="60" w:line="360" w:lineRule="auto"/>
        <w:ind w:firstLine="480"/>
      </w:pPr>
      <w:r>
        <w:rPr>
          <w:rFonts w:ascii="Times New Roman" w:hAnsi="Times New Roman" w:eastAsia="宋体"/>
          <w:b w:val="0"/>
          <w:i w:val="0"/>
          <w:sz w:val="24"/>
        </w:rPr>
        <w:t>注：末列为 σ*=12% 处"DC关年化 − DC开年化"，度量回撤控制在高目标波动区的总成本。</w:t>
      </w:r>
    </w:p>
    <w:p>
      <w:pPr>
        <w:spacing w:before="0" w:after="60" w:line="360" w:lineRule="auto"/>
        <w:ind w:firstLine="480"/>
      </w:pPr>
      <w:r>
        <w:rPr>
          <w:rFonts w:ascii="Times New Roman" w:hAnsi="Times New Roman" w:eastAsia="宋体"/>
          <w:b w:val="0"/>
          <w:i w:val="0"/>
          <w:sz w:val="24"/>
        </w:rPr>
        <w:t>表21须分两层解读，而这两层的稳健性并不相同。</w:t>
      </w:r>
    </w:p>
    <w:p>
      <w:pPr>
        <w:spacing w:before="0" w:after="60" w:line="360" w:lineRule="auto"/>
        <w:ind w:firstLine="480"/>
      </w:pPr>
      <w:r>
        <w:rPr>
          <w:rFonts w:ascii="Times New Roman" w:hAnsi="Times New Roman" w:eastAsia="宋体"/>
          <w:b w:val="0"/>
          <w:i w:val="0"/>
          <w:sz w:val="24"/>
        </w:rPr>
        <w:t>回撤控制在高目标波动区的成本始终很大。六个变体在 σ*=12% 处的成本介于4.10至7.40个百分点，无一例外。这构成本文最稳健的实证事实：在无法使用杠杆的条件下，叠加回撤控制会显著压低高目标波动区的收益。</w:t>
      </w:r>
    </w:p>
    <w:p>
      <w:pPr>
        <w:spacing w:before="0" w:after="60" w:line="360" w:lineRule="auto"/>
        <w:ind w:firstLine="480"/>
      </w:pPr>
      <w:r>
        <w:rPr>
          <w:rFonts w:ascii="Times New Roman" w:hAnsi="Times New Roman" w:eastAsia="宋体"/>
          <w:b w:val="0"/>
          <w:i w:val="0"/>
          <w:sz w:val="24"/>
        </w:rPr>
        <w:t>前沿是否呈现单峰则取决于回撤控制的激进程度。六个变体中有五个出现内点最优，但连续线性 ramp 变体不出现，其前沿单调递增，从4.95%升至7.03%，尽管其成本仍达4.25pp。这与阈值敏感性检验指向同一结论：产生单峰的并非"回撤控制"这一工具，而是"足够激进的削减档位"，无论通过严格阈值还是深度削减档实现。连续 ramp 在同一水下深度处给出相同削减比例，D=−3.5% 时 φ=0.15，但它对浅回撤同样施加削减，因而使前沿整体下移而非弯折。</w:t>
      </w:r>
    </w:p>
    <w:p>
      <w:pPr>
        <w:spacing w:before="0" w:after="60" w:line="360" w:lineRule="auto"/>
        <w:ind w:firstLine="480"/>
      </w:pPr>
      <w:r>
        <w:rPr>
          <w:rFonts w:ascii="Times New Roman" w:hAnsi="Times New Roman" w:eastAsia="宋体"/>
          <w:b w:val="0"/>
          <w:i w:val="0"/>
          <w:sz w:val="24"/>
        </w:rPr>
        <w:t>另有两项敏感性已在别处报告。其一，固定敞口实验（第5.4节表10）检验了"关闭波动率目标层"这一极端设定，成本依然随敞口单调放大。其二，扩展基准对比（第4.1节表1）检验了策略相对等权、风险平价与CPPI的位置，本文策略的夏普比率仍高于全部对照，但相对国债ETF的优势不具统计显著性。</w:t>
      </w:r>
    </w:p>
    <w:p>
      <w:pPr>
        <w:spacing w:before="0" w:after="60" w:line="360" w:lineRule="auto"/>
        <w:ind w:firstLine="480"/>
      </w:pPr>
      <w:r>
        <w:rPr>
          <w:rFonts w:ascii="Times New Roman" w:hAnsi="Times New Roman" w:eastAsia="宋体"/>
          <w:b/>
          <w:i w:val="0"/>
          <w:sz w:val="24"/>
        </w:rPr>
        <w:t>综合判断：本文结论的稳健性边界。</w:t>
      </w:r>
      <w:r>
        <w:rPr>
          <w:rFonts w:ascii="Times New Roman" w:hAnsi="Times New Roman" w:eastAsia="宋体"/>
          <w:b w:val="0"/>
          <w:i w:val="0"/>
          <w:sz w:val="24"/>
        </w:rPr>
        <w:t xml:space="preserve"> 本文的全部敏感性检验可以按"成本"与"形状"两个层次分别归纳，二者的稳健性并不相同：</w:t>
      </w:r>
    </w:p>
    <w:p>
      <w:pPr>
        <w:spacing w:before="40" w:after="40" w:line="336" w:lineRule="auto"/>
        <w:ind w:left="480"/>
      </w:pPr>
      <w:r>
        <w:rPr>
          <w:rFonts w:ascii="Times New Roman" w:hAnsi="Times New Roman" w:eastAsia="宋体"/>
          <w:b/>
          <w:i w:val="0"/>
          <w:sz w:val="24"/>
        </w:rPr>
        <w:t>成本层（高度稳健）</w:t>
      </w:r>
      <w:r>
        <w:rPr>
          <w:rFonts w:ascii="Times New Roman" w:hAnsi="Times New Roman" w:eastAsia="宋体"/>
          <w:b w:val="0"/>
          <w:i w:val="0"/>
          <w:sz w:val="24"/>
        </w:rPr>
        <w:t>：回撤控制在高目标波动区造成显著收益损失，这一点在交易成本、波动率估计窗口、调仓频率、回撤控制函数形式、回撤阈值、资产池、战术信号、子样本等全部检验方向上均成立，成本量级稳定在4—7个百分点区间。</w:t>
      </w:r>
    </w:p>
    <w:p>
      <w:pPr>
        <w:spacing w:before="40" w:after="40" w:line="336" w:lineRule="auto"/>
        <w:ind w:left="480"/>
      </w:pPr>
      <w:r>
        <w:rPr>
          <w:rFonts w:ascii="Times New Roman" w:hAnsi="Times New Roman" w:eastAsia="宋体"/>
          <w:b/>
          <w:i w:val="0"/>
          <w:sz w:val="24"/>
        </w:rPr>
        <w:t>形状层（条件性）</w:t>
      </w:r>
      <w:r>
        <w:rPr>
          <w:rFonts w:ascii="Times New Roman" w:hAnsi="Times New Roman" w:eastAsia="宋体"/>
          <w:b w:val="0"/>
          <w:i w:val="0"/>
          <w:sz w:val="24"/>
        </w:rPr>
        <w:t>：前沿是否由单调转为单峰，取决于回撤控制的激进程度：在四组阈值中仅两组成立，在六种函数/估计/频率组合中五组成立。</w:t>
      </w:r>
      <w:r>
        <w:rPr>
          <w:rFonts w:ascii="Times New Roman" w:hAnsi="Times New Roman" w:eastAsia="宋体"/>
          <w:b/>
          <w:i w:val="0"/>
          <w:sz w:val="24"/>
        </w:rPr>
        <w:t>本文因此将核心主张收敛为成本层的陈述，而将形状层明确标注为条件性发现。</w:t>
      </w:r>
    </w:p>
    <w:p>
      <w:pPr>
        <w:spacing w:before="0" w:after="60" w:line="360" w:lineRule="auto"/>
        <w:ind w:firstLine="480"/>
      </w:pPr>
      <w:r>
        <w:rPr>
          <w:rFonts w:ascii="Times New Roman" w:hAnsi="Times New Roman" w:eastAsia="宋体"/>
          <w:b w:val="0"/>
          <w:i w:val="0"/>
          <w:sz w:val="24"/>
        </w:rPr>
        <w:t>这一边界已在摘要、第1.4节与第2.4.3节三处预先声明，本节给出经验证据。对"固收+"这类回撤承诺严格的产品，严格档设定正是其现实对应，形状层结论适用；对任何受 Ē=1 约束的投资者，成本层结论无条件适用。</w:t>
      </w:r>
    </w:p>
    <w:p>
      <w:pPr>
        <w:spacing w:before="320" w:after="200" w:line="360" w:lineRule="auto"/>
        <w:jc w:val="center"/>
      </w:pPr>
      <w:r>
        <w:rPr>
          <w:rFonts w:ascii="Times New Roman" w:hAnsi="Times New Roman" w:eastAsia="黑体"/>
          <w:b/>
          <w:i w:val="0"/>
          <w:sz w:val="30"/>
        </w:rPr>
        <w:t>七、扩展讨论：约束成本的量化</w:t>
      </w:r>
    </w:p>
    <w:p>
      <w:pPr>
        <w:spacing w:before="240" w:after="100" w:line="360" w:lineRule="auto"/>
      </w:pPr>
      <w:r>
        <w:rPr>
          <w:rFonts w:ascii="Times New Roman" w:hAnsi="Times New Roman" w:eastAsia="黑体"/>
          <w:b/>
          <w:i w:val="0"/>
          <w:sz w:val="26"/>
        </w:rPr>
        <w:t>7.1 从"形状"到"数字"</w:t>
      </w:r>
    </w:p>
    <w:p>
      <w:pPr>
        <w:spacing w:before="0" w:after="60" w:line="360" w:lineRule="auto"/>
        <w:ind w:firstLine="480"/>
      </w:pPr>
      <w:r>
        <w:rPr>
          <w:rFonts w:ascii="Times New Roman" w:hAnsi="Times New Roman" w:eastAsia="宋体"/>
          <w:b w:val="0"/>
          <w:i w:val="0"/>
          <w:sz w:val="24"/>
        </w:rPr>
        <w:t>前文的结论停留在形状层面：回撤控制使收益-风险前沿由单调转为单峰，且这一效应无法通过放松杠杆约束消除。政策与实践真正关心的是数字：受 Ē=1 约束的投资者为此付出了多少福利代价。</w:t>
      </w:r>
    </w:p>
    <w:p>
      <w:pPr>
        <w:spacing w:before="0" w:after="60" w:line="360" w:lineRule="auto"/>
        <w:ind w:firstLine="480"/>
      </w:pPr>
      <w:r>
        <w:rPr>
          <w:rFonts w:ascii="Times New Roman" w:hAnsi="Times New Roman" w:eastAsia="宋体"/>
          <w:b w:val="0"/>
          <w:i w:val="0"/>
          <w:sz w:val="24"/>
        </w:rPr>
        <w:t>扫描设计为：14个目标波动档位（3%—15%）× 2个杠杆上限（Ē=1、Ē=2）× 2个回撤控制状态（开/关），共56个组合。Ē=2 组按3%的年融资利率扣除杠杆成本，其余设置与正文一致。下文采用三种互补的度量口径。</w:t>
      </w:r>
    </w:p>
    <w:p>
      <w:pPr>
        <w:spacing w:before="240" w:after="100" w:line="360" w:lineRule="auto"/>
      </w:pPr>
      <w:r>
        <w:rPr>
          <w:rFonts w:ascii="Times New Roman" w:hAnsi="Times New Roman" w:eastAsia="黑体"/>
          <w:b/>
          <w:i w:val="0"/>
          <w:sz w:val="26"/>
        </w:rPr>
        <w:t>7.2 度量一：效用口径</w:t>
      </w:r>
    </w:p>
    <w:p>
      <w:pPr>
        <w:spacing w:before="0" w:after="60" w:line="360" w:lineRule="auto"/>
        <w:ind w:firstLine="480"/>
      </w:pPr>
      <w:r>
        <w:rPr>
          <w:rFonts w:ascii="Times New Roman" w:hAnsi="Times New Roman" w:eastAsia="宋体"/>
          <w:b w:val="0"/>
          <w:i w:val="0"/>
          <w:sz w:val="24"/>
        </w:rPr>
        <w:t>设投资者的均值-方差效用为 U = R − (γ/2)σ²，其中 R 为年化收益、σ 为年化波动、γ 为相对风险厌恶系数。对每一约束集搜索使 U 最大的配置，约束成本定义为两类约束集最优效用之差（以年化收益当量表示，单位：百分点）。</w:t>
      </w:r>
    </w:p>
    <w:p>
      <w:pPr>
        <w:spacing w:before="200" w:after="60" w:line="276" w:lineRule="auto"/>
        <w:jc w:val="center"/>
      </w:pPr>
      <w:r>
        <w:rPr>
          <w:rFonts w:ascii="Times New Roman" w:hAnsi="Times New Roman" w:eastAsia="黑体"/>
          <w:b/>
          <w:i w:val="0"/>
          <w:sz w:val="21"/>
        </w:rPr>
        <w:t>表22　约束成本的效用口径度量</w:t>
      </w:r>
    </w:p>
    <w:tbl>
      <w:tblPr>
        <w:tblW w:type="auto" w:w="0"/>
        <w:jc w:val="center"/>
        <w:tblLayout w:type="autofit"/>
        <w:tblLook w:firstColumn="1" w:firstRow="1" w:lastColumn="0" w:lastRow="0" w:noHBand="0" w:noVBand="1" w:val="04A0"/>
        <w:tblW w:w="5000" w:type="pct"/>
      </w:tblPr>
      <w:tblGrid>
        <w:gridCol w:w="1187"/>
        <w:gridCol w:w="1187"/>
        <w:gridCol w:w="1187"/>
        <w:gridCol w:w="1187"/>
        <w:gridCol w:w="1187"/>
        <w:gridCol w:w="1187"/>
        <w:gridCol w:w="1187"/>
      </w:tblGrid>
      <w:tr>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γ</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回撤控制</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零售 Ē=1 最优U</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机构 Ē=2 最优U</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约束成本(pp)</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零售最优 σ</w:t>
            </w:r>
          </w:p>
        </w:tc>
        <w:tc>
          <w:tcPr>
            <w:tcW w:type="dxa" w:w="1187"/>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7"/>
              </w:rPr>
              <w:t>零售最优回撤%</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0.5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关</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11.352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14.040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2.688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−21.90</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关</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10.914</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13.389</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2.475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−21.90</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关</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10.037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12.088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2.051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−21.90</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关</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8.438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9.486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1.048</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−17.96</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8.0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关</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6.330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6.401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0.071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−9.76</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0.5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开</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7.200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7.606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0.406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−5.54</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开</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7.120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7.483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0.363</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−5.54</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2.0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开</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6.961</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7.236</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0.275</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−5.54</w:t>
            </w:r>
          </w:p>
        </w:tc>
      </w:tr>
      <w:tr>
        <w:tc>
          <w:tcPr>
            <w:tcW w:type="dxa" w:w="1187"/>
            <w:tcBorders>
              <w:top w:val="nil"/>
              <w:left w:val="nil"/>
              <w:bottom w:val="nil"/>
              <w:right w:val="nil"/>
            </w:tcBorders>
          </w:tcPr>
          <w:p>
            <w:pPr>
              <w:spacing w:line="240" w:lineRule="auto" w:before="20" w:after="20"/>
              <w:jc w:val="left"/>
            </w:pPr>
            <w:r/>
            <w:r>
              <w:rPr>
                <w:rFonts w:ascii="Times New Roman" w:hAnsi="Times New Roman" w:eastAsia="宋体"/>
                <w:b w:val="0"/>
                <w:i w:val="0"/>
                <w:sz w:val="17"/>
              </w:rPr>
              <w:t>4.0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开</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6.642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6.742</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0.100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10%</w:t>
            </w:r>
          </w:p>
        </w:tc>
        <w:tc>
          <w:tcPr>
            <w:tcW w:type="dxa" w:w="1187"/>
            <w:tcBorders>
              <w:top w:val="nil"/>
              <w:left w:val="nil"/>
              <w:bottom w:val="nil"/>
              <w:right w:val="nil"/>
            </w:tcBorders>
          </w:tcPr>
          <w:p>
            <w:pPr>
              <w:spacing w:line="240" w:lineRule="auto" w:before="20" w:after="20"/>
              <w:jc w:val="center"/>
            </w:pPr>
            <w:r/>
            <w:r>
              <w:rPr>
                <w:rFonts w:ascii="Times New Roman" w:hAnsi="Times New Roman" w:eastAsia="宋体"/>
                <w:b w:val="0"/>
                <w:i w:val="0"/>
                <w:sz w:val="17"/>
              </w:rPr>
              <w:t>−5.54</w:t>
            </w:r>
          </w:p>
        </w:tc>
      </w:tr>
      <w:tr>
        <w:tc>
          <w:tcPr>
            <w:tcW w:type="dxa" w:w="1187"/>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7"/>
              </w:rPr>
              <w:t>8.0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开</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6.003</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6.071</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0.068</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10%</w:t>
            </w:r>
          </w:p>
        </w:tc>
        <w:tc>
          <w:tcPr>
            <w:tcW w:type="dxa" w:w="1187"/>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7"/>
              </w:rPr>
              <w:t>−5.54</w:t>
            </w:r>
          </w:p>
        </w:tc>
      </w:tr>
    </w:tbl>
    <w:p>
      <w:pPr>
        <w:spacing w:before="0" w:after="60" w:line="360" w:lineRule="auto"/>
        <w:ind w:firstLine="480"/>
      </w:pPr>
      <w:r>
        <w:rPr>
          <w:rFonts w:ascii="Times New Roman" w:hAnsi="Times New Roman" w:eastAsia="宋体"/>
          <w:b w:val="0"/>
          <w:i w:val="0"/>
          <w:sz w:val="24"/>
        </w:rPr>
        <w:t>约束成本随风险厌恶程度递减：γ=0.5 时无杠杆约束使最优效用损失2.688个百分点，γ=8 时仅0.071个百分点。高厌恶投资者的最优配置本就落在低目标波动区，而 Ē=1 的截断只在 σ* 较大时绑定，杠杆约束伤害的是风险偏好较高的一端。</w:t>
      </w:r>
    </w:p>
    <w:p>
      <w:pPr>
        <w:spacing w:before="0" w:after="60" w:line="360" w:lineRule="auto"/>
        <w:ind w:firstLine="480"/>
      </w:pPr>
      <w:r>
        <w:rPr>
          <w:rFonts w:ascii="Times New Roman" w:hAnsi="Times New Roman" w:eastAsia="宋体"/>
          <w:b w:val="0"/>
          <w:i w:val="0"/>
          <w:sz w:val="24"/>
        </w:rPr>
        <w:t>更重要的变化来自回撤控制的叠加：γ=1 时，无回撤控制下约束成本为2.475pp，叠加后降至0.363pp，降幅85%。图2的A面板显示，有回撤控制的曲线几乎贴着零轴。</w:t>
      </w:r>
    </w:p>
    <w:p>
      <w:pPr>
        <w:spacing w:before="240" w:after="100" w:line="360" w:lineRule="auto"/>
      </w:pPr>
      <w:r>
        <w:rPr>
          <w:rFonts w:ascii="Times New Roman" w:hAnsi="Times New Roman" w:eastAsia="黑体"/>
          <w:b/>
          <w:i w:val="0"/>
          <w:sz w:val="26"/>
        </w:rPr>
        <w:t>7.3 度量二：收益口径</w:t>
      </w:r>
    </w:p>
    <w:p>
      <w:pPr>
        <w:spacing w:before="0" w:after="60" w:line="360" w:lineRule="auto"/>
        <w:ind w:firstLine="480"/>
      </w:pPr>
      <w:r>
        <w:rPr>
          <w:rFonts w:ascii="Times New Roman" w:hAnsi="Times New Roman" w:eastAsia="宋体"/>
          <w:b w:val="0"/>
          <w:i w:val="0"/>
          <w:sz w:val="24"/>
        </w:rPr>
        <w:t>对"固收+"产品而言，客户约束通常以"最大回撤不超过某一阈值"表述。更贴近实务的度量因此是：给定回撤上限，两类约束集各自能达到的最大年化收益。</w:t>
      </w:r>
    </w:p>
    <w:p>
      <w:pPr>
        <w:spacing w:before="200" w:after="60" w:line="276" w:lineRule="auto"/>
        <w:jc w:val="center"/>
      </w:pPr>
      <w:r>
        <w:rPr>
          <w:rFonts w:ascii="Times New Roman" w:hAnsi="Times New Roman" w:eastAsia="黑体"/>
          <w:b/>
          <w:i w:val="0"/>
          <w:sz w:val="21"/>
        </w:rPr>
        <w:t>表23　给定回撤上限下的最大年化收益</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回撤上限</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零售 Ē=1 最大年化%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对应配置</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机构 Ē=2 最大年化%</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对应配置</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约束成本(pp)</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不可行</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不可行</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不可行</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不可行</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σ=5.5%，DC开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6.47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σ=5.5%，DC开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0.00</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7.28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σ=10%，DC开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7.19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σ=8%，DC开</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−0.09</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≤8%</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7.44</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σ=5.5%，DC关</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7.73</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σ=15%，DC开</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+0.29</w:t>
            </w:r>
          </w:p>
        </w:tc>
      </w:tr>
    </w:tbl>
    <w:p>
      <w:pPr>
        <w:spacing w:before="0" w:after="60" w:line="360" w:lineRule="auto"/>
        <w:ind w:firstLine="480"/>
      </w:pPr>
      <w:r>
        <w:rPr>
          <w:rFonts w:ascii="Times New Roman" w:hAnsi="Times New Roman" w:eastAsia="宋体"/>
          <w:b w:val="0"/>
          <w:i w:val="0"/>
          <w:sz w:val="24"/>
        </w:rPr>
        <w:t>在回撤上限不超过6%的区间内，杠杆不带来任何收益优势（0.00pp与−0.09pp）；只有把回撤容忍度放宽到8%，机构才获得0.29pp的优势。</w:t>
      </w:r>
    </w:p>
    <w:p>
      <w:pPr>
        <w:spacing w:before="0" w:after="60" w:line="360" w:lineRule="auto"/>
        <w:ind w:firstLine="480"/>
      </w:pPr>
      <w:r>
        <w:rPr>
          <w:rFonts w:ascii="Times New Roman" w:hAnsi="Times New Roman" w:eastAsia="宋体"/>
          <w:b w:val="0"/>
          <w:i w:val="0"/>
          <w:sz w:val="24"/>
        </w:rPr>
        <w:t>回撤上限≤4%在本样本内对两类约束集均不可行，即便将目标波动压到3%，最大回撤仍达−4.14%。这条可行性边界本身即具实务价值：以"固收+"为代表的低回撤产品，在纯多资产权益框架下难以承诺4%以内的最大回撤，只能借助久期与信用等非权益手段，这与引言所引《经济参考报》的行业观察相吻合。</w:t>
      </w:r>
    </w:p>
    <w:p>
      <w:pPr>
        <w:spacing w:before="240" w:after="100" w:line="360" w:lineRule="auto"/>
      </w:pPr>
      <w:r>
        <w:rPr>
          <w:rFonts w:ascii="Times New Roman" w:hAnsi="Times New Roman" w:eastAsia="黑体"/>
          <w:b/>
          <w:i w:val="0"/>
          <w:sz w:val="26"/>
        </w:rPr>
        <w:t>7.4 度量三：风险口径</w:t>
      </w:r>
    </w:p>
    <w:p>
      <w:pPr>
        <w:spacing w:before="0" w:after="60" w:line="360" w:lineRule="auto"/>
        <w:ind w:firstLine="480"/>
      </w:pPr>
      <w:r>
        <w:rPr>
          <w:rFonts w:ascii="Times New Roman" w:hAnsi="Times New Roman" w:eastAsia="宋体"/>
          <w:b w:val="0"/>
          <w:i w:val="0"/>
          <w:sz w:val="24"/>
        </w:rPr>
        <w:t>第三种度量从相反方向提问：要达到给定收益目标，两类约束集各自必须承担多深的回撤。</w:t>
      </w:r>
    </w:p>
    <w:p>
      <w:pPr>
        <w:spacing w:before="200" w:after="60" w:line="276" w:lineRule="auto"/>
        <w:jc w:val="center"/>
      </w:pPr>
      <w:r>
        <w:rPr>
          <w:rFonts w:ascii="Times New Roman" w:hAnsi="Times New Roman" w:eastAsia="黑体"/>
          <w:b/>
          <w:i w:val="0"/>
          <w:sz w:val="21"/>
        </w:rPr>
        <w:t>表24　给定收益目标下的最小回撤</w:t>
      </w:r>
    </w:p>
    <w:tbl>
      <w:tblPr>
        <w:tblW w:type="auto" w:w="0"/>
        <w:jc w:val="center"/>
        <w:tblLayout w:type="autofit"/>
        <w:tblLook w:firstColumn="1" w:firstRow="1" w:lastColumn="0" w:lastRow="0" w:noHBand="0" w:noVBand="1" w:val="04A0"/>
        <w:tblW w:w="5000" w:type="pct"/>
      </w:tblPr>
      <w:tblGrid>
        <w:gridCol w:w="1385"/>
        <w:gridCol w:w="1385"/>
        <w:gridCol w:w="1385"/>
        <w:gridCol w:w="1385"/>
        <w:gridCol w:w="1385"/>
        <w:gridCol w:w="1385"/>
      </w:tblGrid>
      <w:tr>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收益目标</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零售 Ē=1 最小回撤%</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对应 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机构 Ē=2 最小回撤%</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对应 σ</w:t>
            </w:r>
          </w:p>
        </w:tc>
        <w:tc>
          <w:tcPr>
            <w:tcW w:type="dxa" w:w="1385"/>
            <w:tcBorders>
              <w:top w:val="single" w:sz="8" w:color="000000"/>
              <w:left w:val="nil"/>
              <w:bottom w:val="single" w:sz="4" w:color="000000"/>
              <w:right w:val="nil"/>
            </w:tcBorders>
          </w:tcPr>
          <w:p>
            <w:pPr>
              <w:spacing w:line="240" w:lineRule="auto" w:before="30" w:after="30"/>
              <w:jc w:val="center"/>
            </w:pPr>
            <w:r/>
            <w:r>
              <w:rPr>
                <w:rFonts w:ascii="Times New Roman" w:hAnsi="Times New Roman" w:eastAsia="宋体"/>
                <w:b/>
                <w:i w:val="0"/>
                <w:sz w:val="19"/>
              </w:rPr>
              <w:t>差异(pp)</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−4.02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−4.02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0.00</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6%</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−4.15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0.00</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7%</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−5.54</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10%</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−5.32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0.22</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−9.02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−9.02</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6.5%</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0.00</w:t>
            </w:r>
          </w:p>
        </w:tc>
      </w:tr>
      <w:tr>
        <w:tc>
          <w:tcPr>
            <w:tcW w:type="dxa" w:w="1385"/>
            <w:tcBorders>
              <w:top w:val="nil"/>
              <w:left w:val="nil"/>
              <w:bottom w:val="nil"/>
              <w:right w:val="nil"/>
            </w:tcBorders>
          </w:tcPr>
          <w:p>
            <w:pPr>
              <w:spacing w:line="240" w:lineRule="auto" w:before="20" w:after="20"/>
              <w:jc w:val="left"/>
            </w:pPr>
            <w:r/>
            <w:r>
              <w:rPr>
                <w:rFonts w:ascii="Times New Roman" w:hAnsi="Times New Roman" w:eastAsia="宋体"/>
                <w:b w:val="0"/>
                <w:i w:val="0"/>
                <w:sz w:val="19"/>
              </w:rPr>
              <w:t>9%</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−11.23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−11.23</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8%</w:t>
            </w:r>
          </w:p>
        </w:tc>
        <w:tc>
          <w:tcPr>
            <w:tcW w:type="dxa" w:w="1385"/>
            <w:tcBorders>
              <w:top w:val="nil"/>
              <w:left w:val="nil"/>
              <w:bottom w:val="nil"/>
              <w:right w:val="nil"/>
            </w:tcBorders>
          </w:tcPr>
          <w:p>
            <w:pPr>
              <w:spacing w:line="240" w:lineRule="auto" w:before="20" w:after="20"/>
              <w:jc w:val="center"/>
            </w:pPr>
            <w:r/>
            <w:r>
              <w:rPr>
                <w:rFonts w:ascii="Times New Roman" w:hAnsi="Times New Roman" w:eastAsia="宋体"/>
                <w:b w:val="0"/>
                <w:i w:val="0"/>
                <w:sz w:val="19"/>
              </w:rPr>
              <w:t>0.00</w:t>
            </w:r>
          </w:p>
        </w:tc>
      </w:tr>
      <w:tr>
        <w:tc>
          <w:tcPr>
            <w:tcW w:type="dxa" w:w="1385"/>
            <w:tcBorders>
              <w:top w:val="nil"/>
              <w:left w:val="nil"/>
              <w:bottom w:val="single" w:sz="8" w:color="000000"/>
              <w:right w:val="nil"/>
            </w:tcBorders>
          </w:tcPr>
          <w:p>
            <w:pPr>
              <w:spacing w:line="240" w:lineRule="auto" w:before="20" w:after="20"/>
              <w:jc w:val="left"/>
            </w:pPr>
            <w:r/>
            <w:r>
              <w:rPr>
                <w:rFonts w:ascii="Times New Roman" w:hAnsi="Times New Roman" w:eastAsia="宋体"/>
                <w:b w:val="0"/>
                <w:i w:val="0"/>
                <w:sz w:val="19"/>
              </w:rPr>
              <w:t>10%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−14.48</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10%</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−12.72</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9%</w:t>
            </w:r>
          </w:p>
        </w:tc>
        <w:tc>
          <w:tcPr>
            <w:tcW w:type="dxa" w:w="1385"/>
            <w:tcBorders>
              <w:top w:val="nil"/>
              <w:left w:val="nil"/>
              <w:bottom w:val="single" w:sz="8" w:color="000000"/>
              <w:right w:val="nil"/>
            </w:tcBorders>
          </w:tcPr>
          <w:p>
            <w:pPr>
              <w:spacing w:line="240" w:lineRule="auto" w:before="20" w:after="20"/>
              <w:jc w:val="center"/>
            </w:pPr>
            <w:r/>
            <w:r>
              <w:rPr>
                <w:rFonts w:ascii="Times New Roman" w:hAnsi="Times New Roman" w:eastAsia="宋体"/>
                <w:b w:val="0"/>
                <w:i w:val="0"/>
                <w:sz w:val="19"/>
              </w:rPr>
              <w:t>1.76</w:t>
            </w:r>
          </w:p>
        </w:tc>
      </w:tr>
    </w:tbl>
    <w:p>
      <w:pPr>
        <w:spacing w:before="0" w:after="60" w:line="360" w:lineRule="auto"/>
        <w:ind w:firstLine="480"/>
      </w:pPr>
      <w:r>
        <w:rPr>
          <w:rFonts w:ascii="Times New Roman" w:hAnsi="Times New Roman" w:eastAsia="宋体"/>
          <w:b w:val="0"/>
          <w:i w:val="0"/>
          <w:sz w:val="24"/>
        </w:rPr>
        <w:t>收益目标不超过6%时，两类约束集所需承担的最小回撤完全相同（−4.02%与−4.15%）。杠杆的价值要到收益目标提高至10%时才显现，此时 Ē=2 可节省1.76个百分点的最大回撤（图2的B面板）。</w:t>
      </w:r>
    </w:p>
    <w:p>
      <w:pPr>
        <w:spacing w:before="200" w:after="60" w:line="240" w:lineRule="auto"/>
        <w:jc w:val="center"/>
      </w:pPr>
      <w:r>
        <w:drawing>
          <wp:inline xmlns:a="http://schemas.openxmlformats.org/drawingml/2006/main" xmlns:pic="http://schemas.openxmlformats.org/drawingml/2006/picture">
            <wp:extent cx="5277600" cy="1937074"/>
            <wp:docPr id="4" name="Picture 4"/>
            <wp:cNvGraphicFramePr>
              <a:graphicFrameLocks noChangeAspect="1"/>
            </wp:cNvGraphicFramePr>
            <a:graphic>
              <a:graphicData uri="http://schemas.openxmlformats.org/drawingml/2006/picture">
                <pic:pic>
                  <pic:nvPicPr>
                    <pic:cNvPr id="0" name="docx_fig2.png"/>
                    <pic:cNvPicPr/>
                  </pic:nvPicPr>
                  <pic:blipFill>
                    <a:blip r:embed="rId14"/>
                    <a:stretch>
                      <a:fillRect/>
                    </a:stretch>
                  </pic:blipFill>
                  <pic:spPr>
                    <a:xfrm>
                      <a:off x="0" y="0"/>
                      <a:ext cx="5277600" cy="1937074"/>
                    </a:xfrm>
                    <a:prstGeom prst="rect"/>
                  </pic:spPr>
                </pic:pic>
              </a:graphicData>
            </a:graphic>
          </wp:inline>
        </w:drawing>
      </w:r>
    </w:p>
    <w:p>
      <w:pPr>
        <w:spacing w:before="40" w:after="200" w:line="276" w:lineRule="auto"/>
        <w:jc w:val="center"/>
      </w:pPr>
      <w:r>
        <w:rPr>
          <w:rFonts w:ascii="Times New Roman" w:hAnsi="Times New Roman" w:eastAsia="黑体"/>
          <w:b/>
          <w:i w:val="0"/>
          <w:sz w:val="21"/>
        </w:rPr>
        <w:t>图2　约束成本的量化：回撤控制“消灭”了杠杆的价值</w:t>
      </w:r>
    </w:p>
    <w:p>
      <w:pPr>
        <w:spacing w:before="240" w:after="100" w:line="360" w:lineRule="auto"/>
      </w:pPr>
      <w:r>
        <w:rPr>
          <w:rFonts w:ascii="Times New Roman" w:hAnsi="Times New Roman" w:eastAsia="黑体"/>
          <w:b/>
          <w:i w:val="0"/>
          <w:sz w:val="26"/>
        </w:rPr>
        <w:t>7.5 回撤控制何以"消灭"了杠杆的价值</w:t>
      </w:r>
    </w:p>
    <w:p>
      <w:pPr>
        <w:spacing w:before="0" w:after="60" w:line="360" w:lineRule="auto"/>
        <w:ind w:firstLine="480"/>
      </w:pPr>
      <w:r>
        <w:rPr>
          <w:rFonts w:ascii="Times New Roman" w:hAnsi="Times New Roman" w:eastAsia="宋体"/>
          <w:b w:val="0"/>
          <w:i w:val="0"/>
          <w:sz w:val="24"/>
        </w:rPr>
        <w:t>三种度量合并后指向同一方向，而这在设计研究时并未被预料到。</w:t>
      </w:r>
    </w:p>
    <w:p>
      <w:pPr>
        <w:spacing w:before="0" w:after="60" w:line="360" w:lineRule="auto"/>
        <w:ind w:firstLine="480"/>
      </w:pPr>
      <w:r>
        <w:rPr>
          <w:rFonts w:ascii="Times New Roman" w:hAnsi="Times New Roman" w:eastAsia="宋体"/>
          <w:b w:val="0"/>
          <w:i w:val="0"/>
          <w:sz w:val="24"/>
        </w:rPr>
        <w:t>无回撤控制时，杠杆约束确实是昂贵的：γ=1 口径下达2.475pp，且集中体现在高目标波动区。一旦叠加回撤控制，约束成本降至0.363pp（降幅85%）；收益口径下降至0.00pp（回撤上限5%）乃至−0.09pp（回撤上限6%）；风险口径下降至0.00pp（收益目标≤6%）。</w:t>
      </w:r>
    </w:p>
    <w:p>
      <w:pPr>
        <w:spacing w:before="0" w:after="60" w:line="360" w:lineRule="auto"/>
        <w:ind w:firstLine="480"/>
      </w:pPr>
      <w:r>
        <w:rPr>
          <w:rFonts w:ascii="Times New Roman" w:hAnsi="Times New Roman" w:eastAsia="宋体"/>
          <w:b w:val="0"/>
          <w:i w:val="0"/>
          <w:sz w:val="24"/>
        </w:rPr>
        <w:t>机制解释。回撤控制把最优配置锁在低目标波动区：表22中，开启后零售投资者的最优 σ</w:t>
      </w:r>
      <w:r>
        <w:rPr>
          <w:rFonts w:ascii="Times New Roman" w:hAnsi="Times New Roman" w:eastAsia="宋体"/>
          <w:b w:val="0"/>
          <w:i w:val="0"/>
          <w:sz w:val="24"/>
        </w:rPr>
        <w:t>* 稳定在10%附近（回撤−5.54%），关闭时为15%（−21.90%）。而在 σ*</w:t>
      </w:r>
      <w:r>
        <w:rPr>
          <w:rFonts w:ascii="Times New Roman" w:hAnsi="Times New Roman" w:eastAsia="宋体"/>
          <w:b w:val="0"/>
          <w:i w:val="0"/>
          <w:sz w:val="24"/>
        </w:rPr>
        <w:t xml:space="preserve"> 较小、需求敞口不足1的区间，Ē=1 的截断根本不绑定，杠杆上限形同虚设——回撤控制已替投资者完成了去杠杆，"能否使用杠杆"这一差别因此失去意义。</w:t>
      </w:r>
    </w:p>
    <w:p>
      <w:pPr>
        <w:spacing w:before="0" w:after="60" w:line="360" w:lineRule="auto"/>
        <w:ind w:firstLine="480"/>
      </w:pPr>
      <w:r>
        <w:rPr>
          <w:rFonts w:ascii="Times New Roman" w:hAnsi="Times New Roman" w:eastAsia="宋体"/>
          <w:b w:val="0"/>
          <w:i w:val="0"/>
          <w:sz w:val="24"/>
        </w:rPr>
        <w:t>首先被修正的是"杠杆约束必然有害"这一直觉：在回撤被严格约束的现实场景中，扩大零售投资者的杠杆可得性，福利收益接近于零；政策讨论的焦点因此从"是否放开杠杆"转向"回撤约束是否被合理设定"。</w:t>
      </w:r>
    </w:p>
    <w:p>
      <w:pPr>
        <w:spacing w:before="0" w:after="60" w:line="360" w:lineRule="auto"/>
        <w:ind w:firstLine="480"/>
      </w:pPr>
      <w:r>
        <w:rPr>
          <w:rFonts w:ascii="Times New Roman" w:hAnsi="Times New Roman" w:eastAsia="宋体"/>
          <w:b w:val="0"/>
          <w:i w:val="0"/>
          <w:sz w:val="24"/>
        </w:rPr>
        <w:t>真正昂贵的是回撤控制本身。表22显示，在 Ē=1 下开启回撤控制，最优效用从10.914降至7.120（γ=1口径），成本3.794pp，是同口径下杠杆约束成本（0.363pp）的10.4倍。福利损失的主要来源因此不是杠杆，而是回撤约束本身。</w:t>
      </w:r>
    </w:p>
    <w:p>
      <w:pPr>
        <w:spacing w:before="0" w:after="60" w:line="360" w:lineRule="auto"/>
        <w:ind w:firstLine="480"/>
      </w:pPr>
      <w:r>
        <w:rPr>
          <w:rFonts w:ascii="Times New Roman" w:hAnsi="Times New Roman" w:eastAsia="宋体"/>
          <w:b w:val="0"/>
          <w:i w:val="0"/>
          <w:sz w:val="24"/>
        </w:rPr>
        <w:t>由此得到一个可操作的优先序。对受 Ē=1 约束的投资者，改善福利的排序是：①审慎设定回撤阈值（潜在收益3.794pp）→ ②选择适当的目标波动（σ*∈[4.5%, 6%]区间内收益-回撤权衡较优）→ ③争取杠杆（0.363pp）。当前行业实践中"优先争取仓位弹性"的取向，恰好与之相反。</w:t>
      </w:r>
    </w:p>
    <w:p>
      <w:pPr>
        <w:spacing w:before="240" w:after="100" w:line="360" w:lineRule="auto"/>
      </w:pPr>
      <w:r>
        <w:rPr>
          <w:rFonts w:ascii="Times New Roman" w:hAnsi="Times New Roman" w:eastAsia="黑体"/>
          <w:b/>
          <w:i w:val="0"/>
          <w:sz w:val="26"/>
        </w:rPr>
        <w:t>7.6 数字之外的两点提醒</w:t>
      </w:r>
    </w:p>
    <w:p>
      <w:pPr>
        <w:spacing w:before="0" w:after="60" w:line="360" w:lineRule="auto"/>
        <w:ind w:firstLine="480"/>
      </w:pPr>
      <w:r>
        <w:rPr>
          <w:rFonts w:ascii="Times New Roman" w:hAnsi="Times New Roman" w:eastAsia="宋体"/>
          <w:b w:val="0"/>
          <w:i w:val="0"/>
          <w:sz w:val="24"/>
        </w:rPr>
        <w:t>上述比较都在最优配置之间展开。投资者一旦选中次优参数，实际成本明显高于表中数字：Ē=1、σ*=12%、DC开的组合年化仅5.37%、回撤−6.06%，同约束集的最优组合为7.28%、−5.54%，差距1.91pp。约束条件下，选错参数的代价被放大——这与第6.3节"参数平原"并不矛盾：参数平原说明最优解附近不存在过拟合尖峰，本节说明远离最优解时惩罚更重。</w:t>
      </w:r>
    </w:p>
    <w:p>
      <w:pPr>
        <w:spacing w:before="0" w:after="60" w:line="360" w:lineRule="auto"/>
        <w:ind w:firstLine="480"/>
      </w:pPr>
      <w:r>
        <w:rPr>
          <w:rFonts w:ascii="Times New Roman" w:hAnsi="Times New Roman" w:eastAsia="宋体"/>
          <w:b w:val="0"/>
          <w:i w:val="0"/>
          <w:sz w:val="24"/>
        </w:rPr>
        <w:t>摩擦的放大方向已被检验，尽管度量本身未包含摩擦。本文假设可按收盘价成交、冲击成本为零，这对百万级以下资金成立；而回撤控制会提高换手（本样本内年换手率最高达3.03倍），纳入摩擦只会加重其代价。第6.7节表20给出直接证据：单边交易成本从万三提高到万十二，峰值位置不变（σ*=5.5%），末端衰减却从1.10pp扩大至2.14pp。该检验调整的是显性成本参数，冲击成本随资金规模的非线性上升并未建模，仍需按规模分别评估。</w:t>
      </w:r>
    </w:p>
    <w:p>
      <w:pPr>
        <w:spacing w:before="320" w:after="200" w:line="360" w:lineRule="auto"/>
        <w:jc w:val="center"/>
      </w:pPr>
      <w:r>
        <w:rPr>
          <w:rFonts w:ascii="Times New Roman" w:hAnsi="Times New Roman" w:eastAsia="黑体"/>
          <w:b/>
          <w:i w:val="0"/>
          <w:sz w:val="30"/>
        </w:rPr>
        <w:t>八、结论与启示</w:t>
      </w:r>
    </w:p>
    <w:p>
      <w:pPr>
        <w:spacing w:before="240" w:after="100" w:line="360" w:lineRule="auto"/>
      </w:pPr>
      <w:r>
        <w:rPr>
          <w:rFonts w:ascii="Times New Roman" w:hAnsi="Times New Roman" w:eastAsia="黑体"/>
          <w:b/>
          <w:i w:val="0"/>
          <w:sz w:val="26"/>
        </w:rPr>
        <w:t>8.1 主要结论</w:t>
      </w:r>
    </w:p>
    <w:p>
      <w:pPr>
        <w:spacing w:before="0" w:after="60" w:line="360" w:lineRule="auto"/>
        <w:ind w:firstLine="480"/>
      </w:pPr>
      <w:r>
        <w:rPr>
          <w:rFonts w:ascii="Times New Roman" w:hAnsi="Times New Roman" w:eastAsia="宋体"/>
          <w:b w:val="0"/>
          <w:i w:val="0"/>
          <w:sz w:val="24"/>
        </w:rPr>
        <w:t>本文在 Moreira and Muir（2017）与 Cederburg et al.（2020）关于波动率择时的争论基础上，考察了无杠杆约束下波动率目标与回撤控制的交互效应。基于中国六类资产13.2年的样本：</w:t>
      </w:r>
    </w:p>
    <w:p>
      <w:pPr>
        <w:spacing w:before="0" w:after="60" w:line="360" w:lineRule="auto"/>
        <w:ind w:firstLine="480"/>
      </w:pPr>
      <w:r>
        <w:rPr>
          <w:rFonts w:ascii="Times New Roman" w:hAnsi="Times New Roman" w:eastAsia="宋体"/>
          <w:b w:val="0"/>
          <w:i w:val="0"/>
          <w:sz w:val="24"/>
        </w:rPr>
        <w:t>回撤控制改变了收益-风险前沿的形状。单独使用波动率目标时，年化收益随目标波动单调递增（3%→12%对应5.48%→11.28%）；叠加回撤控制后，前沿转为单峰，内点最优出现在σ*=5.5%（年化6.47%、最大回撤−4.15%），此后继续提高目标波动，收益不增反降。block bootstrap 确认该内点最优统计显著（ΔSharpe=+0.439，p=0.012）。</w:t>
      </w:r>
    </w:p>
    <w:p>
      <w:pPr>
        <w:spacing w:before="0" w:after="60" w:line="360" w:lineRule="auto"/>
        <w:ind w:firstLine="480"/>
      </w:pPr>
      <w:r>
        <w:rPr>
          <w:rFonts w:ascii="Times New Roman" w:hAnsi="Times New Roman" w:eastAsia="宋体"/>
          <w:b w:val="0"/>
          <w:i w:val="0"/>
          <w:sz w:val="24"/>
        </w:rPr>
        <w:t>交互效应在量化上接近完全抵消：两条分支的斜率之差为−0.6209，抵消了主效应+0.6479的95.8%，且开启回撤控制后"收益—目标波动"关系的R²由0.988降至0.020——不是斜率变小，而是关系消失（推断口径见第4.3节）。但在夏普与卡玛比率口径上，斜率之差并不显著，回撤控制改善了风险调整指标，却损害了绝对收益，这一分离对以绝对收益为目标的资金具有直接含义。</w:t>
      </w:r>
    </w:p>
    <w:p>
      <w:pPr>
        <w:spacing w:before="0" w:after="60" w:line="360" w:lineRule="auto"/>
        <w:ind w:firstLine="480"/>
      </w:pPr>
      <w:r>
        <w:rPr>
          <w:rFonts w:ascii="Times New Roman" w:hAnsi="Times New Roman" w:eastAsia="宋体"/>
          <w:b w:val="0"/>
          <w:i w:val="0"/>
          <w:sz w:val="24"/>
        </w:rPr>
        <w:t>机制层面，问题出在风险预算被吞噬，而非减错了时点。敞口实现率从0.821降至0.461；目标敞口提升92%仅换来有效敞口提升6.9%，约93%的新增风险预算从未转化为实际持仓。收益归因沿两个方向分解：同一 σ</w:t>
      </w:r>
      <w:r>
        <w:rPr>
          <w:rFonts w:ascii="Times New Roman" w:hAnsi="Times New Roman" w:eastAsia="宋体"/>
          <w:b w:val="0"/>
          <w:i w:val="0"/>
          <w:sz w:val="24"/>
        </w:rPr>
        <w:t>* 下开启回撤控制，损失几乎全部落在敞口效应上（σ*</w:t>
      </w:r>
      <w:r>
        <w:rPr>
          <w:rFonts w:ascii="Times New Roman" w:hAnsi="Times New Roman" w:eastAsia="宋体"/>
          <w:b w:val="0"/>
          <w:i w:val="0"/>
          <w:sz w:val="24"/>
        </w:rPr>
        <w:t>=12%时−6.23pp）；沿 σ* 上移，损失则全部来自择时效应的衰减（2.61%→1.23%），后者构成内点最优的直接成因。以未施加风控的参照组合作状态控制，重度减仓期之后的20—120日市场前瞻收益低于未减仓期（−0.69至−5.82个百分点），回撤控制在短中期的时点判断因此是正确的；250日窗口虽出现反转，block bootstrap 显示其不具统计显著性（p=0.653）。收益损失来自敞口被压制后的复利损失与棘轮效应，而非时点判断失误。</w:t>
      </w:r>
    </w:p>
    <w:p>
      <w:pPr>
        <w:spacing w:before="0" w:after="60" w:line="360" w:lineRule="auto"/>
        <w:ind w:firstLine="480"/>
      </w:pPr>
      <w:r>
        <w:rPr>
          <w:rFonts w:ascii="Times New Roman" w:hAnsi="Times New Roman" w:eastAsia="宋体"/>
          <w:b w:val="0"/>
          <w:i w:val="0"/>
          <w:sz w:val="24"/>
        </w:rPr>
        <w:t>该陷阱无法通过放松杠杆化解。将杠杆上限从1放松至2后，内点最优依然存在（末端衰减仅从0.67pp降至0.14pp），原因是回撤控制的削减是乘性的，杠杆只能放大第一层的产出。</w:t>
      </w:r>
    </w:p>
    <w:p>
      <w:pPr>
        <w:spacing w:before="0" w:after="60" w:line="360" w:lineRule="auto"/>
        <w:ind w:firstLine="480"/>
      </w:pPr>
      <w:r>
        <w:rPr>
          <w:rFonts w:ascii="Times New Roman" w:hAnsi="Times New Roman" w:eastAsia="宋体"/>
          <w:b w:val="0"/>
          <w:i w:val="0"/>
          <w:sz w:val="24"/>
        </w:rPr>
        <w:t>约束成本的量化把上述判断再推进一步。第七节的三种口径一致显示：在回撤被严格约束的现实场景中，杠杆约束的福利成本接近于零（γ=1 效用口径下仅0.363pp；回撤上限5%时收益口径下为0.00pp；收益目标≤6%时风险口径下为0.00pp），而回撤控制本身的成本高达3.794pp，是前者的10.4倍。两重约束之中，福利损失主要来自后者。</w:t>
      </w:r>
    </w:p>
    <w:p>
      <w:pPr>
        <w:spacing w:before="0" w:after="60" w:line="360" w:lineRule="auto"/>
        <w:ind w:firstLine="480"/>
      </w:pPr>
      <w:r>
        <w:rPr>
          <w:rFonts w:ascii="Times New Roman" w:hAnsi="Times New Roman" w:eastAsia="宋体"/>
          <w:b w:val="0"/>
          <w:i w:val="0"/>
          <w:sz w:val="24"/>
        </w:rPr>
        <w:t>此外，第6.6节的检验表明，即使完全关闭战术信号、仅保留纯风险 overlay，前沿分岔依然存在（末端衰减1.12pp），"分岔由特定信号失效所致"的替代解释因此被排除。</w:t>
      </w:r>
    </w:p>
    <w:p>
      <w:pPr>
        <w:spacing w:before="240" w:after="100" w:line="360" w:lineRule="auto"/>
      </w:pPr>
      <w:r>
        <w:rPr>
          <w:rFonts w:ascii="Times New Roman" w:hAnsi="Times New Roman" w:eastAsia="黑体"/>
          <w:b/>
          <w:i w:val="0"/>
          <w:sz w:val="26"/>
        </w:rPr>
        <w:t>8.2 理论贡献</w:t>
      </w:r>
    </w:p>
    <w:p>
      <w:pPr>
        <w:spacing w:before="0" w:after="60" w:line="360" w:lineRule="auto"/>
        <w:ind w:firstLine="480"/>
      </w:pPr>
      <w:r>
        <w:rPr>
          <w:rFonts w:ascii="Times New Roman" w:hAnsi="Times New Roman" w:eastAsia="宋体"/>
          <w:b w:val="0"/>
          <w:i w:val="0"/>
          <w:sz w:val="24"/>
        </w:rPr>
        <w:t>既有文献（Moreira and Muir, 2017; Cederburg et al., 2020; Bongaerts et al., 2020）均以可自由加杠杆为前提，其"低波动加仓"的收益来源本质上是杠杆收益。本文与既有文献的分野，在于把杠杆可得性从背景假设变成待检验的变量。当 Ē=1 时，缩放函数被截断，波动率目标退化为单向减仓工具，其与回撤控制的叠加便产生系统性的收益侵蚀。实务中"波动率目标效果不稳定"由此获得一种解释：效果差异的根源可能不在市场，而在约束条件。</w:t>
      </w:r>
    </w:p>
    <w:p>
      <w:pPr>
        <w:spacing w:before="240" w:after="100" w:line="360" w:lineRule="auto"/>
      </w:pPr>
      <w:r>
        <w:rPr>
          <w:rFonts w:ascii="Times New Roman" w:hAnsi="Times New Roman" w:eastAsia="黑体"/>
          <w:b/>
          <w:i w:val="0"/>
          <w:sz w:val="26"/>
        </w:rPr>
        <w:t>8.3 实践与政策启示</w:t>
      </w:r>
    </w:p>
    <w:p>
      <w:pPr>
        <w:spacing w:before="0" w:after="60" w:line="360" w:lineRule="auto"/>
        <w:ind w:firstLine="480"/>
      </w:pPr>
      <w:r>
        <w:rPr>
          <w:rFonts w:ascii="Times New Roman" w:hAnsi="Times New Roman" w:eastAsia="宋体"/>
          <w:b w:val="0"/>
          <w:i w:val="0"/>
          <w:sz w:val="24"/>
        </w:rPr>
        <w:t>对无法使用杠杆的投资者，本文结果可概括为一句话：风险预算并非"用得越多越好"。以绝对收益为目标时，适度目标波动优于高目标波动，σ</w:t>
      </w:r>
      <w:r>
        <w:rPr>
          <w:rFonts w:ascii="Times New Roman" w:hAnsi="Times New Roman" w:eastAsia="宋体"/>
          <w:b w:val="0"/>
          <w:i w:val="0"/>
          <w:sz w:val="24"/>
        </w:rPr>
        <w:t>*=5.5%的组合（年化6.47%、回撤−4.15%）优于σ*</w:t>
      </w:r>
      <w:r>
        <w:rPr>
          <w:rFonts w:ascii="Times New Roman" w:hAnsi="Times New Roman" w:eastAsia="宋体"/>
          <w:b w:val="0"/>
          <w:i w:val="0"/>
          <w:sz w:val="24"/>
        </w:rPr>
        <w:t>=12%的组合（年化5.37%、回撤−6.06%），后者多担一倍以上的风险预算，收益反而更低。两点限定需交代：该结论在本文的基准与严格阈值组下成立，若投资者的回撤容忍度较宽（−6%以上），提高目标波动仍然有效；本文也不主张放弃回撤控制，第5.3节已证实其短中期确实降低了损失且时点判断正确，主张的是审慎设定阈值，而非取消这一层。</w:t>
      </w:r>
    </w:p>
    <w:p>
      <w:pPr>
        <w:spacing w:before="0" w:after="60" w:line="360" w:lineRule="auto"/>
        <w:ind w:firstLine="480"/>
      </w:pPr>
      <w:r>
        <w:rPr>
          <w:rFonts w:ascii="Times New Roman" w:hAnsi="Times New Roman" w:eastAsia="宋体"/>
          <w:b w:val="0"/>
          <w:i w:val="0"/>
          <w:sz w:val="24"/>
        </w:rPr>
        <w:t>国内"固收+"产品普遍采用"战略配置→战术择时→资金管理"三层架构，本文结果把注意力引向第三层（TIPP/回撤控制）与前两层的交互。可行的做法是在产品合同中明确"最大回撤约束"与"收益目标"的优先序，否则为追求低回撤而系统性牺牲收益难以避免。第七节表23给出的可行性边界在此同样适用：在本样本的多资产权益框架下，最大回撤4%以内的目标对任何参数配置均不可行（即便将目标波动压到3%，最大回撤仍达−4.14%）。回撤承诺一旦低于4%，其实现必然依赖久期与信用等非权益手段，风险并未消失，而是从权益端转移到了信用与流动性端。</w:t>
      </w:r>
    </w:p>
    <w:p>
      <w:pPr>
        <w:spacing w:before="0" w:after="60" w:line="360" w:lineRule="auto"/>
        <w:ind w:firstLine="480"/>
      </w:pPr>
      <w:r>
        <w:rPr>
          <w:rFonts w:ascii="Times New Roman" w:hAnsi="Times New Roman" w:eastAsia="宋体"/>
          <w:b w:val="0"/>
          <w:i w:val="0"/>
          <w:sz w:val="24"/>
        </w:rPr>
        <w:t>监管与投资者保护层面，两项发现直接相关。不能使用杠杆的投资者承受了更严重的回撤控制收益侵蚀（末端衰减0.67pp vs 机构的0.14pp），同一套"稳健"策略，在零售投资者手中与在机构手中效果并不相同。更具政策含义的是第二项。第七节显示，一旦叠加回撤约束，杠杆约束的福利成本即降至接近于零（γ=1 效用口径0.363pp；回撤上限6%时收益口径−0.09pp；收益目标≤6%时风险口径0.00pp）。以"放开零售杠杆"改善零售投资者福利的思路，在回撤被刚性约束的条件下收效甚微；监管焦点若转向回撤控制条款本身的合理性与透明度，例如要求管理人在产品说明书中披露回撤控制机制的成本测算与压力测试结果，并明确回撤与收益目标的优先序，边际效果可能更大。</w:t>
      </w:r>
    </w:p>
    <w:p>
      <w:pPr>
        <w:spacing w:before="240" w:after="100" w:line="360" w:lineRule="auto"/>
      </w:pPr>
      <w:r>
        <w:rPr>
          <w:rFonts w:ascii="Times New Roman" w:hAnsi="Times New Roman" w:eastAsia="黑体"/>
          <w:b/>
          <w:i w:val="0"/>
          <w:sz w:val="26"/>
        </w:rPr>
        <w:t>8.4 研究局限</w:t>
      </w:r>
    </w:p>
    <w:p>
      <w:pPr>
        <w:spacing w:before="0" w:after="60" w:line="360" w:lineRule="auto"/>
        <w:ind w:firstLine="480"/>
      </w:pPr>
      <w:r>
        <w:rPr>
          <w:rFonts w:ascii="Times New Roman" w:hAnsi="Times New Roman" w:eastAsia="宋体"/>
          <w:b w:val="0"/>
          <w:i w:val="0"/>
          <w:sz w:val="24"/>
        </w:rPr>
        <w:t>本文存在六项局限，有待后续研究处理：</w:t>
      </w:r>
    </w:p>
    <w:p>
      <w:pPr>
        <w:spacing w:before="0" w:after="60" w:line="360" w:lineRule="auto"/>
        <w:ind w:firstLine="480"/>
      </w:pPr>
      <w:r>
        <w:rPr>
          <w:rFonts w:ascii="Times New Roman" w:hAnsi="Times New Roman" w:eastAsia="宋体"/>
          <w:b w:val="0"/>
          <w:i w:val="0"/>
          <w:sz w:val="24"/>
        </w:rPr>
        <w:t>其一，样本长度与单一市场仍是硬约束。13.2年的样本虽覆盖多轮牛熊，仍不足以完全排除路径依赖；且结论仅基于中国市场，跨国验证有待展开。</w:t>
      </w:r>
    </w:p>
    <w:p>
      <w:pPr>
        <w:spacing w:before="0" w:after="60" w:line="360" w:lineRule="auto"/>
        <w:ind w:firstLine="480"/>
      </w:pPr>
      <w:r>
        <w:rPr>
          <w:rFonts w:ascii="Times New Roman" w:hAnsi="Times New Roman" w:eastAsia="宋体"/>
          <w:b w:val="0"/>
          <w:i w:val="0"/>
          <w:sz w:val="24"/>
        </w:rPr>
        <w:t>其二涉及模拟与实证之间的落差：第5.4节的数值模拟复现了"边际收益压缩88%"，却未复现"绝对下降"。本文将其归因于模拟的单一资产设定，该解释需要更严格的检验。</w:t>
      </w:r>
    </w:p>
    <w:p>
      <w:pPr>
        <w:spacing w:before="0" w:after="60" w:line="360" w:lineRule="auto"/>
        <w:ind w:firstLine="480"/>
      </w:pPr>
      <w:r>
        <w:rPr>
          <w:rFonts w:ascii="Times New Roman" w:hAnsi="Times New Roman" w:eastAsia="宋体"/>
          <w:b w:val="0"/>
          <w:i w:val="0"/>
          <w:sz w:val="24"/>
        </w:rPr>
        <w:t>其三，相对国债的夏普优势不显著（p=0.774）。本文策略在绝对收益与回撤控制上表现较好，但相对无风险资产的风险调整优势在本样本内未获统计支持，这与2014年以来中国债券长牛的特殊环境有关，外推需谨慎。</w:t>
      </w:r>
    </w:p>
    <w:p>
      <w:pPr>
        <w:spacing w:before="0" w:after="60" w:line="360" w:lineRule="auto"/>
        <w:ind w:firstLine="480"/>
      </w:pPr>
      <w:r>
        <w:rPr>
          <w:rFonts w:ascii="Times New Roman" w:hAnsi="Times New Roman" w:eastAsia="宋体"/>
          <w:b w:val="0"/>
          <w:i w:val="0"/>
          <w:sz w:val="24"/>
        </w:rPr>
        <w:t>其四，交易摩擦未被纳入定价。本文假设可按收盘价成交、冲击成本为零，这对百万级以下资金成立，大规模资金则需重新评估。第6.7节做了万三至万十二的敏感性检验，方向不变，但这并不替代对冲击成本与容量约束的直接建模。</w:t>
      </w:r>
    </w:p>
    <w:p>
      <w:pPr>
        <w:spacing w:before="0" w:after="60" w:line="360" w:lineRule="auto"/>
        <w:ind w:firstLine="480"/>
      </w:pPr>
      <w:r>
        <w:rPr>
          <w:rFonts w:ascii="Times New Roman" w:hAnsi="Times New Roman" w:eastAsia="宋体"/>
          <w:b w:val="0"/>
          <w:i w:val="0"/>
          <w:sz w:val="24"/>
        </w:rPr>
        <w:t>其五，结论对回撤阈值敏感。第6.7节显示，内点最优仅在基准组与严格组阈值下出现，宽松组与极宽组的前沿仍单调递增。这意味着本文识别的负交互是"严格回撤约束"与"无法使用杠杆"两项条件的联合产物，不能推广为回撤控制这一工具的普遍属性。该边界已在摘要、第1.4节与第2.4.3节三处声明。</w:t>
      </w:r>
    </w:p>
    <w:p>
      <w:pPr>
        <w:spacing w:before="0" w:after="60" w:line="360" w:lineRule="auto"/>
        <w:ind w:firstLine="480"/>
      </w:pPr>
      <w:r>
        <w:rPr>
          <w:rFonts w:ascii="Times New Roman" w:hAnsi="Times New Roman" w:eastAsia="宋体"/>
          <w:b w:val="0"/>
          <w:i w:val="0"/>
          <w:sz w:val="24"/>
        </w:rPr>
        <w:t>其六，事件研究的统计功效不足，此处单独说明：第5.3节的250日窗口在13.2年样本中仅有约12.8个非重叠观测，组间比较的 block bootstrap 置信区间宽达[−3.864, +5.619]。本文因此未能就"重度减仓之后的长期收益是否更高"给出确定答案，只能报告"证据不足以支持"，更长样本或跨市场数据方能回答这一问题。</w:t>
      </w:r>
    </w:p>
    <w:p>
      <w:pPr>
        <w:spacing w:before="240" w:after="100" w:line="360" w:lineRule="auto"/>
      </w:pPr>
      <w:r>
        <w:rPr>
          <w:rFonts w:ascii="Times New Roman" w:hAnsi="Times New Roman" w:eastAsia="黑体"/>
          <w:b/>
          <w:i w:val="0"/>
          <w:sz w:val="26"/>
        </w:rPr>
        <w:t>8.5 结语</w:t>
      </w:r>
    </w:p>
    <w:p>
      <w:pPr>
        <w:spacing w:before="0" w:after="60" w:line="360" w:lineRule="auto"/>
        <w:ind w:firstLine="480"/>
      </w:pPr>
      <w:r>
        <w:rPr>
          <w:rFonts w:ascii="Times New Roman" w:hAnsi="Times New Roman" w:eastAsia="宋体"/>
          <w:b w:val="0"/>
          <w:i w:val="0"/>
          <w:sz w:val="24"/>
        </w:rPr>
        <w:t>本文始于一个工程性的困惑：为什么加了第二层风控，收益反而不涨。它最终指向一个理论命题——在约束条件下，风险管理的边际收益可能为零甚至为负。一道风控的价值，取决于它之外的其余各道给它留下多少空间；风控手段的堆叠并不必然带来更好的结果，弄清每一层如何作用、又如何相互抵消，与设计新的一层同等重要。</w:t>
      </w:r>
    </w:p>
    <w:p>
      <w:pPr>
        <w:spacing w:before="320" w:after="160" w:line="300" w:lineRule="auto"/>
        <w:jc w:val="center"/>
      </w:pPr>
      <w:r>
        <w:rPr>
          <w:rFonts w:ascii="Times New Roman" w:hAnsi="Times New Roman" w:eastAsia="黑体"/>
          <w:b/>
          <w:i w:val="0"/>
          <w:sz w:val="30"/>
        </w:rPr>
        <w:t>参考文献</w:t>
      </w:r>
    </w:p>
    <w:p>
      <w:pPr>
        <w:spacing w:before="0" w:after="40" w:line="312" w:lineRule="auto"/>
        <w:ind w:left="480" w:hanging="480"/>
      </w:pPr>
      <w:r>
        <w:rPr>
          <w:rFonts w:ascii="Times New Roman" w:hAnsi="Times New Roman" w:eastAsia="宋体"/>
          <w:b w:val="0"/>
          <w:i w:val="0"/>
          <w:sz w:val="21"/>
        </w:rPr>
        <w:t xml:space="preserve">1. Black, F., &amp; Jones, R. (1987). Simplifying portfolio insurance. </w:t>
      </w:r>
      <w:r>
        <w:rPr>
          <w:rFonts w:ascii="Times New Roman" w:hAnsi="Times New Roman" w:eastAsia="宋体"/>
          <w:b w:val="0"/>
          <w:i/>
          <w:sz w:val="21"/>
        </w:rPr>
        <w:t>Journal of Portfolio Management</w:t>
      </w:r>
      <w:r>
        <w:rPr>
          <w:rFonts w:ascii="Times New Roman" w:hAnsi="Times New Roman" w:eastAsia="宋体"/>
          <w:b w:val="0"/>
          <w:i w:val="0"/>
          <w:sz w:val="21"/>
        </w:rPr>
        <w:t>, 14(1), 48–51.</w:t>
      </w:r>
    </w:p>
    <w:p>
      <w:pPr>
        <w:spacing w:before="0" w:after="40" w:line="312" w:lineRule="auto"/>
        <w:ind w:left="480" w:hanging="480"/>
      </w:pPr>
      <w:r>
        <w:rPr>
          <w:rFonts w:ascii="Times New Roman" w:hAnsi="Times New Roman" w:eastAsia="宋体"/>
          <w:b w:val="0"/>
          <w:i w:val="0"/>
          <w:sz w:val="21"/>
        </w:rPr>
        <w:t xml:space="preserve">2. Perold, A. F., &amp; Sharpe, W. F. (1988). Dynamic strategies for asset allocation. </w:t>
      </w:r>
      <w:r>
        <w:rPr>
          <w:rFonts w:ascii="Times New Roman" w:hAnsi="Times New Roman" w:eastAsia="宋体"/>
          <w:b w:val="0"/>
          <w:i/>
          <w:sz w:val="21"/>
        </w:rPr>
        <w:t>Financial Analysts Journal</w:t>
      </w:r>
      <w:r>
        <w:rPr>
          <w:rFonts w:ascii="Times New Roman" w:hAnsi="Times New Roman" w:eastAsia="宋体"/>
          <w:b w:val="0"/>
          <w:i w:val="0"/>
          <w:sz w:val="21"/>
        </w:rPr>
        <w:t>, 44(1), 16–27.</w:t>
      </w:r>
    </w:p>
    <w:p>
      <w:pPr>
        <w:spacing w:before="0" w:after="40" w:line="312" w:lineRule="auto"/>
        <w:ind w:left="480" w:hanging="480"/>
      </w:pPr>
      <w:r>
        <w:rPr>
          <w:rFonts w:ascii="Times New Roman" w:hAnsi="Times New Roman" w:eastAsia="宋体"/>
          <w:b w:val="0"/>
          <w:i w:val="0"/>
          <w:sz w:val="21"/>
        </w:rPr>
        <w:t xml:space="preserve">3. Fleming, J., Kirby, C., &amp; Ostdiek, B. (2001). The economic value of volatility timing. </w:t>
      </w:r>
      <w:r>
        <w:rPr>
          <w:rFonts w:ascii="Times New Roman" w:hAnsi="Times New Roman" w:eastAsia="宋体"/>
          <w:b w:val="0"/>
          <w:i/>
          <w:sz w:val="21"/>
        </w:rPr>
        <w:t>Journal of Finance</w:t>
      </w:r>
      <w:r>
        <w:rPr>
          <w:rFonts w:ascii="Times New Roman" w:hAnsi="Times New Roman" w:eastAsia="宋体"/>
          <w:b w:val="0"/>
          <w:i w:val="0"/>
          <w:sz w:val="21"/>
        </w:rPr>
        <w:t>, 56(1), 329–352.</w:t>
      </w:r>
    </w:p>
    <w:p>
      <w:pPr>
        <w:spacing w:before="0" w:after="40" w:line="312" w:lineRule="auto"/>
        <w:ind w:left="480" w:hanging="480"/>
      </w:pPr>
      <w:r>
        <w:rPr>
          <w:rFonts w:ascii="Times New Roman" w:hAnsi="Times New Roman" w:eastAsia="宋体"/>
          <w:b w:val="0"/>
          <w:i w:val="0"/>
          <w:sz w:val="21"/>
        </w:rPr>
        <w:t xml:space="preserve">4. Fleming, J., Kirby, C., &amp; Ostdiek, B. (2003). The economic value of volatility timing using "realized" volatility. </w:t>
      </w:r>
      <w:r>
        <w:rPr>
          <w:rFonts w:ascii="Times New Roman" w:hAnsi="Times New Roman" w:eastAsia="宋体"/>
          <w:b w:val="0"/>
          <w:i/>
          <w:sz w:val="21"/>
        </w:rPr>
        <w:t>Journal of Financial Economics</w:t>
      </w:r>
      <w:r>
        <w:rPr>
          <w:rFonts w:ascii="Times New Roman" w:hAnsi="Times New Roman" w:eastAsia="宋体"/>
          <w:b w:val="0"/>
          <w:i w:val="0"/>
          <w:sz w:val="21"/>
        </w:rPr>
        <w:t>, 67(3), 473–509.</w:t>
      </w:r>
    </w:p>
    <w:p>
      <w:pPr>
        <w:spacing w:before="0" w:after="40" w:line="312" w:lineRule="auto"/>
        <w:ind w:left="480" w:hanging="480"/>
      </w:pPr>
      <w:r>
        <w:rPr>
          <w:rFonts w:ascii="Times New Roman" w:hAnsi="Times New Roman" w:eastAsia="宋体"/>
          <w:b w:val="0"/>
          <w:i w:val="0"/>
          <w:sz w:val="21"/>
        </w:rPr>
        <w:t xml:space="preserve">5. Moskowitz, T. J., Ooi, Y. H., &amp; Pedersen, L. H. (2012). Time series momentum. </w:t>
      </w:r>
      <w:r>
        <w:rPr>
          <w:rFonts w:ascii="Times New Roman" w:hAnsi="Times New Roman" w:eastAsia="宋体"/>
          <w:b w:val="0"/>
          <w:i/>
          <w:sz w:val="21"/>
        </w:rPr>
        <w:t>Journal of Financial Economics</w:t>
      </w:r>
      <w:r>
        <w:rPr>
          <w:rFonts w:ascii="Times New Roman" w:hAnsi="Times New Roman" w:eastAsia="宋体"/>
          <w:b w:val="0"/>
          <w:i w:val="0"/>
          <w:sz w:val="21"/>
        </w:rPr>
        <w:t>, 104(2), 228–250.</w:t>
      </w:r>
    </w:p>
    <w:p>
      <w:pPr>
        <w:spacing w:before="0" w:after="40" w:line="312" w:lineRule="auto"/>
        <w:ind w:left="480" w:hanging="480"/>
      </w:pPr>
      <w:r>
        <w:rPr>
          <w:rFonts w:ascii="Times New Roman" w:hAnsi="Times New Roman" w:eastAsia="宋体"/>
          <w:b w:val="0"/>
          <w:i w:val="0"/>
          <w:sz w:val="21"/>
        </w:rPr>
        <w:t xml:space="preserve">6. Moreira, A., &amp; Muir, T. (2017). Volatility-managed portfolios. </w:t>
      </w:r>
      <w:r>
        <w:rPr>
          <w:rFonts w:ascii="Times New Roman" w:hAnsi="Times New Roman" w:eastAsia="宋体"/>
          <w:b w:val="0"/>
          <w:i/>
          <w:sz w:val="21"/>
        </w:rPr>
        <w:t>Journal of Finance</w:t>
      </w:r>
      <w:r>
        <w:rPr>
          <w:rFonts w:ascii="Times New Roman" w:hAnsi="Times New Roman" w:eastAsia="宋体"/>
          <w:b w:val="0"/>
          <w:i w:val="0"/>
          <w:sz w:val="21"/>
        </w:rPr>
        <w:t>, 72(4), 1611–1644.</w:t>
      </w:r>
    </w:p>
    <w:p>
      <w:pPr>
        <w:spacing w:before="0" w:after="40" w:line="312" w:lineRule="auto"/>
        <w:ind w:left="480" w:hanging="480"/>
      </w:pPr>
      <w:r>
        <w:rPr>
          <w:rFonts w:ascii="Times New Roman" w:hAnsi="Times New Roman" w:eastAsia="宋体"/>
          <w:b w:val="0"/>
          <w:i w:val="0"/>
          <w:sz w:val="21"/>
        </w:rPr>
        <w:t>7. Liu, F., Tang, X., &amp; Zhou, G. (2019). Volatility-managed portfolio: Does it really work? Journal of Portfolio Management, 46(1), 38–51.（SSRN 工作论文版编号 3283395）</w:t>
      </w:r>
    </w:p>
    <w:p>
      <w:pPr>
        <w:spacing w:before="0" w:after="40" w:line="312" w:lineRule="auto"/>
        <w:ind w:left="480" w:hanging="480"/>
      </w:pPr>
      <w:r>
        <w:rPr>
          <w:rFonts w:ascii="Times New Roman" w:hAnsi="Times New Roman" w:eastAsia="宋体"/>
          <w:b w:val="0"/>
          <w:i w:val="0"/>
          <w:sz w:val="21"/>
        </w:rPr>
        <w:t xml:space="preserve">8. Cederburg, S., O'Doherty, M. S., Wang, F., &amp; Yan, X. (2020). On the performance of volatility-managed portfolios. </w:t>
      </w:r>
      <w:r>
        <w:rPr>
          <w:rFonts w:ascii="Times New Roman" w:hAnsi="Times New Roman" w:eastAsia="宋体"/>
          <w:b w:val="0"/>
          <w:i/>
          <w:sz w:val="21"/>
        </w:rPr>
        <w:t>Journal of Financial Economics</w:t>
      </w:r>
      <w:r>
        <w:rPr>
          <w:rFonts w:ascii="Times New Roman" w:hAnsi="Times New Roman" w:eastAsia="宋体"/>
          <w:b w:val="0"/>
          <w:i w:val="0"/>
          <w:sz w:val="21"/>
        </w:rPr>
        <w:t>, 138(1), 95–117.</w:t>
      </w:r>
    </w:p>
    <w:p>
      <w:pPr>
        <w:spacing w:before="0" w:after="40" w:line="312" w:lineRule="auto"/>
        <w:ind w:left="480" w:hanging="480"/>
      </w:pPr>
      <w:r>
        <w:rPr>
          <w:rFonts w:ascii="Times New Roman" w:hAnsi="Times New Roman" w:eastAsia="宋体"/>
          <w:b w:val="0"/>
          <w:i w:val="0"/>
          <w:sz w:val="21"/>
        </w:rPr>
        <w:t xml:space="preserve">9. Bongaerts, D., Kang, X., &amp; van Dijk, M. (2020). Conditional volatility targeting. </w:t>
      </w:r>
      <w:r>
        <w:rPr>
          <w:rFonts w:ascii="Times New Roman" w:hAnsi="Times New Roman" w:eastAsia="宋体"/>
          <w:b w:val="0"/>
          <w:i/>
          <w:sz w:val="21"/>
        </w:rPr>
        <w:t>Financial Analysts Journal</w:t>
      </w:r>
      <w:r>
        <w:rPr>
          <w:rFonts w:ascii="Times New Roman" w:hAnsi="Times New Roman" w:eastAsia="宋体"/>
          <w:b w:val="0"/>
          <w:i w:val="0"/>
          <w:sz w:val="21"/>
        </w:rPr>
        <w:t>, 76(2), 84–100.</w:t>
      </w:r>
    </w:p>
    <w:p>
      <w:pPr>
        <w:spacing w:before="0" w:after="40" w:line="312" w:lineRule="auto"/>
        <w:ind w:left="480" w:hanging="480"/>
      </w:pPr>
      <w:r>
        <w:rPr>
          <w:rFonts w:ascii="Times New Roman" w:hAnsi="Times New Roman" w:eastAsia="宋体"/>
          <w:b w:val="0"/>
          <w:i w:val="0"/>
          <w:sz w:val="21"/>
        </w:rPr>
        <w:t xml:space="preserve">10. Wang, F., &amp; Yan, X. (2021). Downside volatility-managed portfolios. </w:t>
      </w:r>
      <w:r>
        <w:rPr>
          <w:rFonts w:ascii="Times New Roman" w:hAnsi="Times New Roman" w:eastAsia="宋体"/>
          <w:b w:val="0"/>
          <w:i/>
          <w:sz w:val="21"/>
        </w:rPr>
        <w:t>Journal of Banking &amp; Finance</w:t>
      </w:r>
      <w:r>
        <w:rPr>
          <w:rFonts w:ascii="Times New Roman" w:hAnsi="Times New Roman" w:eastAsia="宋体"/>
          <w:b w:val="0"/>
          <w:i w:val="0"/>
          <w:sz w:val="21"/>
        </w:rPr>
        <w:t>, 133, 106267.</w:t>
      </w:r>
    </w:p>
    <w:p>
      <w:pPr>
        <w:spacing w:before="0" w:after="40" w:line="312" w:lineRule="auto"/>
        <w:ind w:left="480" w:hanging="480"/>
      </w:pPr>
      <w:r>
        <w:rPr>
          <w:rFonts w:ascii="Times New Roman" w:hAnsi="Times New Roman" w:eastAsia="宋体"/>
          <w:b w:val="0"/>
          <w:i w:val="0"/>
          <w:sz w:val="21"/>
        </w:rPr>
        <w:t>11. Xu, X. (2026). Improving volatility-managed portfolios in real time. Critical Finance Review, 15(2), 179–207.（SSRN 工作论文版编号 4778941）</w:t>
      </w:r>
    </w:p>
    <w:p>
      <w:pPr>
        <w:spacing w:before="0" w:after="40" w:line="312" w:lineRule="auto"/>
        <w:ind w:left="480" w:hanging="480"/>
      </w:pPr>
      <w:r>
        <w:rPr>
          <w:rFonts w:ascii="Times New Roman" w:hAnsi="Times New Roman" w:eastAsia="宋体"/>
          <w:b w:val="0"/>
          <w:i w:val="0"/>
          <w:sz w:val="21"/>
        </w:rPr>
        <w:t xml:space="preserve">12. Harvey, C. R., Liu, Y., &amp; Zhu, H. (2016). …and the cross-section of expected returns. </w:t>
      </w:r>
      <w:r>
        <w:rPr>
          <w:rFonts w:ascii="Times New Roman" w:hAnsi="Times New Roman" w:eastAsia="宋体"/>
          <w:b w:val="0"/>
          <w:i/>
          <w:sz w:val="21"/>
        </w:rPr>
        <w:t>Review of Financial Studies</w:t>
      </w:r>
      <w:r>
        <w:rPr>
          <w:rFonts w:ascii="Times New Roman" w:hAnsi="Times New Roman" w:eastAsia="宋体"/>
          <w:b w:val="0"/>
          <w:i w:val="0"/>
          <w:sz w:val="21"/>
        </w:rPr>
        <w:t>, 29(1), 5–68.</w:t>
      </w:r>
    </w:p>
    <w:p>
      <w:pPr>
        <w:spacing w:before="0" w:after="40" w:line="312" w:lineRule="auto"/>
        <w:ind w:left="480" w:hanging="480"/>
      </w:pPr>
      <w:r>
        <w:rPr>
          <w:rFonts w:ascii="Times New Roman" w:hAnsi="Times New Roman" w:eastAsia="宋体"/>
          <w:b w:val="0"/>
          <w:i w:val="0"/>
          <w:sz w:val="21"/>
        </w:rPr>
        <w:t xml:space="preserve">13. Barroso, P., &amp; Santa-Clara, P. (2015). Momentum has its moments. </w:t>
      </w:r>
      <w:r>
        <w:rPr>
          <w:rFonts w:ascii="Times New Roman" w:hAnsi="Times New Roman" w:eastAsia="宋体"/>
          <w:b w:val="0"/>
          <w:i/>
          <w:sz w:val="21"/>
        </w:rPr>
        <w:t>Journal of Financial Economics</w:t>
      </w:r>
      <w:r>
        <w:rPr>
          <w:rFonts w:ascii="Times New Roman" w:hAnsi="Times New Roman" w:eastAsia="宋体"/>
          <w:b w:val="0"/>
          <w:i w:val="0"/>
          <w:sz w:val="21"/>
        </w:rPr>
        <w:t>, 116(1), 111–120.</w:t>
      </w:r>
    </w:p>
    <w:p>
      <w:pPr>
        <w:spacing w:before="0" w:after="40" w:line="312" w:lineRule="auto"/>
        <w:ind w:left="480" w:hanging="480"/>
      </w:pPr>
      <w:r>
        <w:rPr>
          <w:rFonts w:ascii="Times New Roman" w:hAnsi="Times New Roman" w:eastAsia="宋体"/>
          <w:b w:val="0"/>
          <w:i w:val="0"/>
          <w:sz w:val="21"/>
        </w:rPr>
        <w:t xml:space="preserve">14. Daniel, K., &amp; Moskowitz, T. J. (2016). Momentum crashes. </w:t>
      </w:r>
      <w:r>
        <w:rPr>
          <w:rFonts w:ascii="Times New Roman" w:hAnsi="Times New Roman" w:eastAsia="宋体"/>
          <w:b w:val="0"/>
          <w:i/>
          <w:sz w:val="21"/>
        </w:rPr>
        <w:t>Journal of Financial Economics</w:t>
      </w:r>
      <w:r>
        <w:rPr>
          <w:rFonts w:ascii="Times New Roman" w:hAnsi="Times New Roman" w:eastAsia="宋体"/>
          <w:b w:val="0"/>
          <w:i w:val="0"/>
          <w:sz w:val="21"/>
        </w:rPr>
        <w:t>, 122(2), 221–247.</w:t>
      </w:r>
    </w:p>
    <w:p>
      <w:pPr>
        <w:spacing w:before="0" w:after="40" w:line="312" w:lineRule="auto"/>
        <w:ind w:left="480" w:hanging="480"/>
      </w:pPr>
      <w:r>
        <w:rPr>
          <w:rFonts w:ascii="Times New Roman" w:hAnsi="Times New Roman" w:eastAsia="宋体"/>
          <w:b w:val="0"/>
          <w:i w:val="0"/>
          <w:sz w:val="21"/>
        </w:rPr>
        <w:t xml:space="preserve">15. Grossman, S. J., &amp; Zhou, Z. (1993). Optimal investment strategies for controlling drawdowns. </w:t>
      </w:r>
      <w:r>
        <w:rPr>
          <w:rFonts w:ascii="Times New Roman" w:hAnsi="Times New Roman" w:eastAsia="宋体"/>
          <w:b w:val="0"/>
          <w:i/>
          <w:sz w:val="21"/>
        </w:rPr>
        <w:t>Mathematical Finance</w:t>
      </w:r>
      <w:r>
        <w:rPr>
          <w:rFonts w:ascii="Times New Roman" w:hAnsi="Times New Roman" w:eastAsia="宋体"/>
          <w:b w:val="0"/>
          <w:i w:val="0"/>
          <w:sz w:val="21"/>
        </w:rPr>
        <w:t>, 3(3), 241–276.</w:t>
      </w:r>
    </w:p>
    <w:p>
      <w:pPr>
        <w:spacing w:before="0" w:after="40" w:line="312" w:lineRule="auto"/>
        <w:ind w:left="480" w:hanging="480"/>
      </w:pPr>
      <w:r>
        <w:rPr>
          <w:rFonts w:ascii="Times New Roman" w:hAnsi="Times New Roman" w:eastAsia="宋体"/>
          <w:b w:val="0"/>
          <w:i w:val="0"/>
          <w:sz w:val="21"/>
        </w:rPr>
        <w:t xml:space="preserve">16. Jegadeesh, N., &amp; Titman, S. (1993). Returns to buying winners and selling losers. </w:t>
      </w:r>
      <w:r>
        <w:rPr>
          <w:rFonts w:ascii="Times New Roman" w:hAnsi="Times New Roman" w:eastAsia="宋体"/>
          <w:b w:val="0"/>
          <w:i/>
          <w:sz w:val="21"/>
        </w:rPr>
        <w:t>Journal of Finance</w:t>
      </w:r>
      <w:r>
        <w:rPr>
          <w:rFonts w:ascii="Times New Roman" w:hAnsi="Times New Roman" w:eastAsia="宋体"/>
          <w:b w:val="0"/>
          <w:i w:val="0"/>
          <w:sz w:val="21"/>
        </w:rPr>
        <w:t>, 48(1), 65–91.</w:t>
      </w:r>
    </w:p>
    <w:p>
      <w:pPr>
        <w:spacing w:before="0" w:after="40" w:line="312" w:lineRule="auto"/>
        <w:ind w:left="480" w:hanging="480"/>
      </w:pPr>
      <w:r>
        <w:rPr>
          <w:rFonts w:ascii="Times New Roman" w:hAnsi="Times New Roman" w:eastAsia="宋体"/>
          <w:b w:val="0"/>
          <w:i w:val="0"/>
          <w:sz w:val="21"/>
        </w:rPr>
        <w:t xml:space="preserve">17. Hong, H., &amp; Stein, J. C. (1999). A unified theory of underreaction, momentum trading, and overreaction in asset markets. </w:t>
      </w:r>
      <w:r>
        <w:rPr>
          <w:rFonts w:ascii="Times New Roman" w:hAnsi="Times New Roman" w:eastAsia="宋体"/>
          <w:b w:val="0"/>
          <w:i/>
          <w:sz w:val="21"/>
        </w:rPr>
        <w:t>Journal of Finance</w:t>
      </w:r>
      <w:r>
        <w:rPr>
          <w:rFonts w:ascii="Times New Roman" w:hAnsi="Times New Roman" w:eastAsia="宋体"/>
          <w:b w:val="0"/>
          <w:i w:val="0"/>
          <w:sz w:val="21"/>
        </w:rPr>
        <w:t>, 54(6), 2143–2184.</w:t>
      </w:r>
    </w:p>
    <w:p>
      <w:pPr>
        <w:spacing w:before="0" w:after="40" w:line="312" w:lineRule="auto"/>
        <w:ind w:left="480" w:hanging="480"/>
      </w:pPr>
      <w:r>
        <w:rPr>
          <w:rFonts w:ascii="Times New Roman" w:hAnsi="Times New Roman" w:eastAsia="宋体"/>
          <w:b w:val="0"/>
          <w:i w:val="0"/>
          <w:sz w:val="21"/>
        </w:rPr>
        <w:t>18. 王永宏、赵学军，2001：《中国股市"惯性策略"和"反转策略"的实证分析》，《经济研究》第6期，第56—61页。</w:t>
      </w:r>
    </w:p>
    <w:p>
      <w:pPr>
        <w:spacing w:before="0" w:after="40" w:line="312" w:lineRule="auto"/>
        <w:ind w:left="480" w:hanging="480"/>
      </w:pPr>
      <w:r>
        <w:rPr>
          <w:rFonts w:ascii="Times New Roman" w:hAnsi="Times New Roman" w:eastAsia="宋体"/>
          <w:b w:val="0"/>
          <w:i w:val="0"/>
          <w:sz w:val="21"/>
        </w:rPr>
        <w:t>19. 赵学军、王永宏，2001：《中国股市"处置效应"的实证分析》，《金融研究》第7期，第92—97页。</w:t>
      </w:r>
    </w:p>
    <w:p>
      <w:pPr>
        <w:spacing w:before="0" w:after="40" w:line="312" w:lineRule="auto"/>
        <w:ind w:left="480" w:hanging="480"/>
      </w:pPr>
      <w:r>
        <w:rPr>
          <w:rFonts w:ascii="Times New Roman" w:hAnsi="Times New Roman" w:eastAsia="宋体"/>
          <w:b w:val="0"/>
          <w:i w:val="0"/>
          <w:sz w:val="21"/>
        </w:rPr>
        <w:t>20. 周琳杰，2002：《中国股票市场动量策略赢利性研究》，《世界经济》第8期，第60—64页。</w:t>
      </w:r>
    </w:p>
    <w:p>
      <w:pPr>
        <w:spacing w:before="0" w:after="40" w:line="312" w:lineRule="auto"/>
        <w:ind w:left="480" w:hanging="480"/>
      </w:pPr>
      <w:r>
        <w:rPr>
          <w:rFonts w:ascii="Times New Roman" w:hAnsi="Times New Roman" w:eastAsia="宋体"/>
          <w:b w:val="0"/>
          <w:i w:val="0"/>
          <w:sz w:val="21"/>
        </w:rPr>
        <w:t>21. 刘博、皮天雷，2007：《惯性策略和反转策略：来自中国沪深A股市场的新证据》，《金融研究》第8期，第154—166页。</w:t>
      </w:r>
    </w:p>
    <w:p>
      <w:pPr>
        <w:spacing w:before="0" w:after="40" w:line="312" w:lineRule="auto"/>
        <w:ind w:left="480" w:hanging="480"/>
      </w:pPr>
      <w:r>
        <w:rPr>
          <w:rFonts w:ascii="Times New Roman" w:hAnsi="Times New Roman" w:eastAsia="宋体"/>
          <w:b w:val="0"/>
          <w:i w:val="0"/>
          <w:sz w:val="21"/>
        </w:rPr>
        <w:t>22. 鲁臻、邹恒甫，2007：《中国股市的惯性与反转效应研究》，《经济研究》第9期，第145—155页。</w:t>
      </w:r>
    </w:p>
    <w:p>
      <w:pPr>
        <w:spacing w:before="0" w:after="40" w:line="312" w:lineRule="auto"/>
        <w:ind w:left="480" w:hanging="480"/>
      </w:pPr>
      <w:r>
        <w:rPr>
          <w:rFonts w:ascii="Times New Roman" w:hAnsi="Times New Roman" w:eastAsia="宋体"/>
          <w:b w:val="0"/>
          <w:i w:val="0"/>
          <w:sz w:val="21"/>
        </w:rPr>
        <w:t>23. 潘莉、徐建国，2011：《A股个股回报率的惯性与反转》，《金融研究》第1期，第149—166页。</w:t>
      </w:r>
    </w:p>
    <w:p>
      <w:pPr>
        <w:spacing w:before="0" w:after="40" w:line="312" w:lineRule="auto"/>
        <w:ind w:left="480" w:hanging="480"/>
      </w:pPr>
      <w:r>
        <w:rPr>
          <w:rFonts w:ascii="Times New Roman" w:hAnsi="Times New Roman" w:eastAsia="宋体"/>
          <w:b w:val="0"/>
          <w:i w:val="0"/>
          <w:sz w:val="21"/>
        </w:rPr>
        <w:t>24. 谭小芬、林雨菲，2012：《中国A股市场动量效应和反转效应：实证研究及其理论解释》，《金融评论》第1期，第45—57页。</w:t>
      </w:r>
    </w:p>
    <w:p>
      <w:pPr>
        <w:spacing w:before="0" w:after="40" w:line="312" w:lineRule="auto"/>
        <w:ind w:left="480" w:hanging="480"/>
      </w:pPr>
      <w:r>
        <w:rPr>
          <w:rFonts w:ascii="Times New Roman" w:hAnsi="Times New Roman" w:eastAsia="宋体"/>
          <w:b w:val="0"/>
          <w:i w:val="0"/>
          <w:sz w:val="21"/>
        </w:rPr>
        <w:t>25. 高秋明、胡聪慧、燕翔，2014：《中国A股市场动量效应的特征和形成机理研究》，《财经研究》第2期，第97—107页。</w:t>
      </w:r>
    </w:p>
    <w:p>
      <w:pPr>
        <w:spacing w:before="0" w:after="40" w:line="312" w:lineRule="auto"/>
        <w:ind w:left="480" w:hanging="480"/>
      </w:pPr>
      <w:r>
        <w:rPr>
          <w:rFonts w:ascii="Times New Roman" w:hAnsi="Times New Roman" w:eastAsia="宋体"/>
          <w:b w:val="0"/>
          <w:i w:val="0"/>
          <w:sz w:val="21"/>
        </w:rPr>
        <w:t>26. 陆蓉、李金龙、陈实，2022：《中国投资者的股票出售行为画像——处置效应研究新进展》，《管理世界》第3期，第59—78页。</w:t>
      </w:r>
    </w:p>
    <w:p>
      <w:pPr>
        <w:spacing w:before="0" w:after="40" w:line="312" w:lineRule="auto"/>
        <w:ind w:left="480" w:hanging="480"/>
      </w:pPr>
      <w:r>
        <w:rPr>
          <w:rFonts w:ascii="Times New Roman" w:hAnsi="Times New Roman" w:eastAsia="宋体"/>
          <w:b w:val="0"/>
          <w:i w:val="0"/>
          <w:sz w:val="21"/>
        </w:rPr>
        <w:t xml:space="preserve">27. Barroso, P., &amp; Detzel, A. L. (2021). Do limits to arbitrage explain the benefits of volatility-managed portfolios? </w:t>
      </w:r>
      <w:r>
        <w:rPr>
          <w:rFonts w:ascii="Times New Roman" w:hAnsi="Times New Roman" w:eastAsia="宋体"/>
          <w:b w:val="0"/>
          <w:i/>
          <w:sz w:val="21"/>
        </w:rPr>
        <w:t>Journal of Financial Economics</w:t>
      </w:r>
      <w:r>
        <w:rPr>
          <w:rFonts w:ascii="Times New Roman" w:hAnsi="Times New Roman" w:eastAsia="宋体"/>
          <w:b w:val="0"/>
          <w:i w:val="0"/>
          <w:sz w:val="21"/>
        </w:rPr>
        <w:t>, 140(3), 744–767.</w:t>
      </w:r>
    </w:p>
    <w:p>
      <w:pPr>
        <w:spacing w:before="0" w:after="40" w:line="312" w:lineRule="auto"/>
        <w:ind w:left="480" w:hanging="480"/>
      </w:pPr>
      <w:r>
        <w:rPr>
          <w:rFonts w:ascii="Times New Roman" w:hAnsi="Times New Roman" w:eastAsia="宋体"/>
          <w:b w:val="0"/>
          <w:i w:val="0"/>
          <w:sz w:val="21"/>
        </w:rPr>
        <w:t xml:space="preserve">28. Chekhlov, A., Uryasev, S., &amp; Zabarankin, M. (2005). Drawdown measure in portfolio optimization. </w:t>
      </w:r>
      <w:r>
        <w:rPr>
          <w:rFonts w:ascii="Times New Roman" w:hAnsi="Times New Roman" w:eastAsia="宋体"/>
          <w:b w:val="0"/>
          <w:i/>
          <w:sz w:val="21"/>
        </w:rPr>
        <w:t>International Journal of Theoretical and Applied Finance</w:t>
      </w:r>
      <w:r>
        <w:rPr>
          <w:rFonts w:ascii="Times New Roman" w:hAnsi="Times New Roman" w:eastAsia="宋体"/>
          <w:b w:val="0"/>
          <w:i w:val="0"/>
          <w:sz w:val="21"/>
        </w:rPr>
        <w:t>, 8(1), 13–58.</w:t>
      </w:r>
    </w:p>
    <w:p>
      <w:pPr>
        <w:spacing w:before="0" w:after="40" w:line="312" w:lineRule="auto"/>
        <w:ind w:left="480" w:hanging="480"/>
      </w:pPr>
      <w:r>
        <w:rPr>
          <w:rFonts w:ascii="Times New Roman" w:hAnsi="Times New Roman" w:eastAsia="宋体"/>
          <w:b w:val="0"/>
          <w:i w:val="0"/>
          <w:sz w:val="21"/>
        </w:rPr>
        <w:t xml:space="preserve">29. Cont, R., &amp; Tankov, P. (2009). Constant proportion portfolio insurance in presence of jumps. </w:t>
      </w:r>
      <w:r>
        <w:rPr>
          <w:rFonts w:ascii="Times New Roman" w:hAnsi="Times New Roman" w:eastAsia="宋体"/>
          <w:b w:val="0"/>
          <w:i/>
          <w:sz w:val="21"/>
        </w:rPr>
        <w:t>Applied Mathematical Finance</w:t>
      </w:r>
      <w:r>
        <w:rPr>
          <w:rFonts w:ascii="Times New Roman" w:hAnsi="Times New Roman" w:eastAsia="宋体"/>
          <w:b w:val="0"/>
          <w:i w:val="0"/>
          <w:sz w:val="21"/>
        </w:rPr>
        <w:t>, 16(5), 399–420.</w:t>
      </w:r>
    </w:p>
    <w:p>
      <w:pPr>
        <w:spacing w:before="0" w:after="40" w:line="312" w:lineRule="auto"/>
        <w:ind w:left="480" w:hanging="480"/>
      </w:pPr>
      <w:r>
        <w:rPr>
          <w:rFonts w:ascii="Times New Roman" w:hAnsi="Times New Roman" w:eastAsia="宋体"/>
          <w:b w:val="0"/>
          <w:i w:val="0"/>
          <w:sz w:val="21"/>
        </w:rPr>
        <w:t xml:space="preserve">30. Ang, A. (2014). </w:t>
      </w:r>
      <w:r>
        <w:rPr>
          <w:rFonts w:ascii="Times New Roman" w:hAnsi="Times New Roman" w:eastAsia="宋体"/>
          <w:b w:val="0"/>
          <w:i/>
          <w:sz w:val="21"/>
        </w:rPr>
        <w:t>Asset Management: A Systematic Approach to Factor Investing</w:t>
      </w:r>
      <w:r>
        <w:rPr>
          <w:rFonts w:ascii="Times New Roman" w:hAnsi="Times New Roman" w:eastAsia="宋体"/>
          <w:b w:val="0"/>
          <w:i w:val="0"/>
          <w:sz w:val="21"/>
        </w:rPr>
        <w:t>. Oxford University Press.</w:t>
      </w:r>
    </w:p>
    <w:p>
      <w:pPr>
        <w:spacing w:before="0" w:after="40" w:line="312" w:lineRule="auto"/>
        <w:ind w:left="480" w:hanging="480"/>
      </w:pPr>
      <w:r>
        <w:rPr>
          <w:rFonts w:ascii="Times New Roman" w:hAnsi="Times New Roman" w:eastAsia="宋体"/>
          <w:b w:val="0"/>
          <w:i w:val="0"/>
          <w:sz w:val="21"/>
        </w:rPr>
        <w:t>31. 上海证券交易所，2026：《上海证券交易所统计年鉴（2026）》及月度市场概况，上交所官网公开数据（访问日期：2026年10月22日）。</w:t>
      </w:r>
    </w:p>
    <w:p>
      <w:pPr>
        <w:spacing w:before="0" w:after="40" w:line="312" w:lineRule="auto"/>
        <w:ind w:left="480" w:hanging="480"/>
      </w:pPr>
      <w:r>
        <w:rPr>
          <w:rFonts w:ascii="Times New Roman" w:hAnsi="Times New Roman" w:eastAsia="宋体"/>
          <w:b w:val="0"/>
          <w:i w:val="0"/>
          <w:sz w:val="21"/>
        </w:rPr>
        <w:t>32. 中金公司研究部，2026：《中国"固收+"基金规模与配置跟踪》，中金公司研究报告。</w:t>
      </w:r>
    </w:p>
    <w:p>
      <w:pPr>
        <w:spacing w:before="0" w:after="40" w:line="312" w:lineRule="auto"/>
        <w:ind w:left="480" w:hanging="480"/>
      </w:pPr>
      <w:r>
        <w:rPr>
          <w:rFonts w:ascii="Times New Roman" w:hAnsi="Times New Roman" w:eastAsia="宋体"/>
          <w:b w:val="0"/>
          <w:i w:val="0"/>
          <w:sz w:val="21"/>
        </w:rPr>
        <w:t>33. 《经济参考报》，2026年5月6日：《"固收+"规模狂欢背后的隐忧》。</w:t>
      </w:r>
    </w:p>
    <w:p>
      <w:pPr>
        <w:spacing w:before="320" w:after="200" w:line="360" w:lineRule="auto"/>
        <w:jc w:val="center"/>
      </w:pPr>
      <w:r>
        <w:rPr>
          <w:rFonts w:ascii="Times New Roman" w:hAnsi="Times New Roman" w:eastAsia="黑体"/>
          <w:b/>
          <w:i w:val="0"/>
          <w:sz w:val="30"/>
        </w:rPr>
        <w:t>附录与声明（投稿时按期刊模板调整位置）</w:t>
      </w:r>
    </w:p>
    <w:p>
      <w:pPr>
        <w:spacing w:before="0" w:after="60" w:line="360" w:lineRule="auto"/>
        <w:ind w:firstLine="480"/>
      </w:pPr>
      <w:r>
        <w:rPr>
          <w:rFonts w:ascii="Times New Roman" w:hAnsi="Times New Roman" w:eastAsia="宋体"/>
          <w:b/>
          <w:i w:val="0"/>
          <w:sz w:val="24"/>
        </w:rPr>
        <w:t>数据可用性。 全部行情数据来自 AkShare 开源数据库与天天基金公开页面，可通过公开渠道免费获取；分红记录来自天天基金 F10 页面人工整理。回测与绘图代码已在 GitHub 公开：https://github.com/958809518/double-deleveraging-trap，含 paper_data/ 下与正文各表一一对应的结果输出，可复现文中所有表格与图形。</w:t>
      </w:r>
      <w:r>
        <w:rPr>
          <w:rFonts w:ascii="Times New Roman" w:hAnsi="Times New Roman" w:eastAsia="宋体"/>
          <w:b w:val="0"/>
          <w:i w:val="0"/>
          <w:sz w:val="24"/>
        </w:rPr>
      </w:r>
    </w:p>
    <w:p>
      <w:pPr>
        <w:spacing w:before="0" w:after="60" w:line="360" w:lineRule="auto"/>
        <w:ind w:firstLine="480"/>
      </w:pPr>
      <w:r>
        <w:rPr>
          <w:rFonts w:ascii="Times New Roman" w:hAnsi="Times New Roman" w:eastAsia="宋体"/>
          <w:b/>
          <w:i w:val="0"/>
          <w:sz w:val="24"/>
        </w:rPr>
        <w:t>利益冲突声明。</w:t>
      </w:r>
      <w:r>
        <w:rPr>
          <w:rFonts w:ascii="Times New Roman" w:hAnsi="Times New Roman" w:eastAsia="宋体"/>
          <w:b w:val="0"/>
          <w:i w:val="0"/>
          <w:sz w:val="24"/>
        </w:rPr>
        <w:t xml:space="preserve"> 作者声明不存在可能影响本文结论的经济利益冲突。</w:t>
      </w:r>
    </w:p>
    <w:p>
      <w:pPr>
        <w:spacing w:before="0" w:after="60" w:line="360" w:lineRule="auto"/>
        <w:ind w:firstLine="480"/>
      </w:pPr>
      <w:r>
        <w:rPr>
          <w:rFonts w:ascii="Times New Roman" w:hAnsi="Times New Roman" w:eastAsia="宋体"/>
          <w:b/>
          <w:i w:val="0"/>
          <w:sz w:val="24"/>
        </w:rPr>
        <w:t>资助声明。 本文系国家社会科学基金一般项目《数字孪生赋能韧性城市建设的机理与实践路径研究》（批准号 24BGL226）的阶段性成果。</w:t>
      </w:r>
      <w:r>
        <w:rPr>
          <w:rFonts w:ascii="Times New Roman" w:hAnsi="Times New Roman" w:eastAsia="宋体"/>
          <w:b w:val="0"/>
          <w:i w:val="0"/>
          <w:sz w:val="24"/>
        </w:rPr>
      </w:r>
    </w:p>
    <w:p>
      <w:pPr>
        <w:spacing w:before="0" w:after="60" w:line="360" w:lineRule="auto"/>
        <w:ind w:firstLine="480"/>
      </w:pPr>
      <w:r>
        <w:rPr>
          <w:rFonts w:ascii="Times New Roman" w:hAnsi="Times New Roman" w:eastAsia="宋体"/>
          <w:b/>
          <w:i w:val="0"/>
          <w:sz w:val="24"/>
        </w:rPr>
        <w:t>作者贡献。 潘郑麒负责论文撰写；潘铁军负责回测代码编写与实证结果验证；郑蕾娜提出研究选题与总体研究思路。</w:t>
      </w:r>
      <w:r>
        <w:rPr>
          <w:rFonts w:ascii="Times New Roman" w:hAnsi="Times New Roman" w:eastAsia="宋体"/>
          <w:b w:val="0"/>
          <w:i w:val="0"/>
          <w:sz w:val="24"/>
        </w:rPr>
      </w:r>
    </w:p>
    <w:p>
      <w:pPr>
        <w:spacing w:before="0" w:after="60" w:line="360" w:lineRule="auto"/>
        <w:ind w:firstLine="480"/>
      </w:pPr>
      <w:r>
        <w:rPr>
          <w:rFonts w:ascii="Times New Roman" w:hAnsi="Times New Roman" w:eastAsia="宋体"/>
          <w:b/>
          <w:i w:val="0"/>
          <w:sz w:val="24"/>
        </w:rPr>
        <w:t>需要向编辑部说明的两点。</w:t>
      </w:r>
      <w:r>
        <w:rPr>
          <w:rFonts w:ascii="Times New Roman" w:hAnsi="Times New Roman" w:eastAsia="宋体"/>
          <w:b w:val="0"/>
          <w:i w:val="0"/>
          <w:sz w:val="24"/>
        </w:rPr>
        <w:t xml:space="preserve"> 其一，第5.3节撤回了一项本文早期版本中的表述（"削减恰好发生在反弹最丰厚的前夜"），该表述在 block bootstrap 下未获统计支持，修改稿已在正文相应位置标注这一撤回。其二，第6.7节报告了一项对本文核心发现不利的证据（内点最优仅在两组回撤阈值下出现），本文选择保留并突出该证据，而非将其置于附录。</w:t>
      </w:r>
    </w:p>
    <w:p>
      <w:pPr>
        <w:spacing w:before="0" w:after="60" w:line="360" w:lineRule="auto"/>
        <w:ind w:firstLine="480"/>
      </w:pPr>
      <w:r>
        <w:rPr>
          <w:rFonts w:ascii="Times New Roman" w:hAnsi="Times New Roman" w:eastAsia="宋体"/>
          <w:b w:val="0"/>
          <w:i w:val="0"/>
          <w:sz w:val="24"/>
        </w:rPr>
        <w:t>*本文仅供学术研究参考，不构成任何投资建议。*</w:t>
      </w:r>
    </w:p>
    <w:p>
      <w:pPr>
        <w:spacing w:before="280" w:after="0" w:line="312" w:lineRule="auto"/>
        <w:jc w:val="left"/>
      </w:pPr>
      <w:r>
        <w:rPr>
          <w:rFonts w:ascii="Times New Roman" w:hAnsi="Times New Roman" w:eastAsia="楷体"/>
          <w:b w:val="0"/>
          <w:i w:val="0"/>
          <w:sz w:val="19"/>
        </w:rPr>
        <w:t>说明：本文所有回测均已扣除交易成本（单边万三），并校正了 ETF 份额折算造成的价格假跳变；数据区间 2013-08-01 至 2026-10-20。</w:t>
      </w:r>
    </w:p>
    <w:p>
      <w:pPr>
        <w:spacing w:before="360" w:after="40" w:line="300" w:lineRule="auto"/>
        <w:jc w:val="center"/>
      </w:pPr>
      <w:r>
        <w:rPr>
          <w:rFonts w:ascii="Times New Roman" w:hAnsi="Times New Roman" w:eastAsia="宋体"/>
          <w:b/>
          <w:i w:val="0"/>
          <w:sz w:val="26"/>
        </w:rPr>
        <w:t>Double Deleveraging Trap: The Interaction between Volatility Targeting and Drawdown Control</w:t>
      </w:r>
    </w:p>
    <w:p>
      <w:pPr>
        <w:spacing w:before="0" w:after="160" w:line="300" w:lineRule="auto"/>
        <w:jc w:val="center"/>
      </w:pPr>
      <w:r>
        <w:rPr>
          <w:rFonts w:ascii="Times New Roman" w:hAnsi="Times New Roman" w:eastAsia="宋体"/>
          <w:b w:val="0"/>
          <w:i w:val="0"/>
          <w:sz w:val="22"/>
        </w:rPr>
        <w:t>——Evidence from China's Multi-Asset Market</w:t>
      </w:r>
    </w:p>
    <w:p>
      <w:pPr>
        <w:spacing w:before="0" w:after="80" w:line="300" w:lineRule="auto"/>
        <w:jc w:val="both"/>
      </w:pPr>
      <w:r>
        <w:rPr>
          <w:rFonts w:ascii="Times New Roman" w:hAnsi="Times New Roman" w:eastAsia="宋体"/>
          <w:b/>
          <w:i w:val="0"/>
          <w:sz w:val="21"/>
        </w:rPr>
        <w:t xml:space="preserve">Abstract: </w:t>
      </w:r>
      <w:r>
        <w:rPr>
          <w:rFonts w:ascii="Times New Roman" w:hAnsi="Times New Roman" w:eastAsia="宋体"/>
          <w:b w:val="0"/>
          <w:i w:val="0"/>
          <w:sz w:val="21"/>
        </w:rPr>
        <w:t>Volatility targeting and drawdown control are the two most widely used rule-based risk overlays in asset management, yet prior studies typically evaluate them in isolation and almost universally assume that investors can employ leverage. Building on the debate between Moreira and Muir (2017) and Cederburg et al. (2020), this paper places both overlays within a unified no-leverage framework and examines their interaction. Theory shows that because the position-scaling function of volatility targeting is truncated at the leverage cap, its "leverage up in calm markets" channel is disabled and only the deleveraging channel survives; because drawdown control cuts exposure multiplicatively, the two layers compound into a "double deleveraging". Using a 13.2-year sample of six Chinese asset classes plus treasury and cash, we find that with volatility targeting alone the return-risk frontier is monotonically increasing (target volatility 3%-12% corresponds to annualized returns of 5.48%-11.28%), whereas adding drawdown control turns the frontier single-peaked: the interior optimum occurs at a target volatility of 5.5% (annualized 6.47%, maximum drawdown -4.15%), and raising the target volatility further reduces rather than increases returns (to 5.37% at 12%). A descriptive slope decomposition shows that drawdown control shifts the return-target-volatility slope by -0.6209, offsetting 95.8% of the main effect (+0.6479). Mechanism tests show that drawdown control lowers the exposure realization rate from 0.821 to 0.461: a 92% increase in target exposure buys only a 6.9% increase in effective exposure. An event study with state controls and block bootstrap indicates that the loss does not arise from mistimed cuts -- drawdown control reduces exposure at moments when subsequent 20-120-day market returns are in fact lower -- but from the compounding loss and ratchet effect of compressed exposure. Quantifying the welfare cost of the two constraints under three metrics yields a counterintuitive result: once a drawdown constraint is imposed, the welfare cost of the leverage constraint falls to nearly zero, while the cost of drawdown control itself reaches 3.794 percentage points, more than ten times the former. Two caveats are stated up front: the strategy's risk-adjusted advantage over a treasury ETF is not statistically significant (p = 0.774), and the single-peaked shape is conditional -- it appears under two of four drawdown-threshold settings and five of six estimation, frequency and functional-form variants, although the cost of drawdown control at high target volatility (4-7 percentage points) holds without exception. Our findings imply that, absent leverage, risk budgets are not "the more the better", and stacking additional risk-control layers systematically erodes returns, with direct implications for retail investor protection and the design of "fixed income+" products.</w:t>
      </w:r>
    </w:p>
    <w:p>
      <w:pPr>
        <w:spacing w:before="0" w:after="60" w:line="300" w:lineRule="auto"/>
        <w:jc w:val="both"/>
      </w:pPr>
      <w:r>
        <w:rPr>
          <w:rFonts w:ascii="Times New Roman" w:hAnsi="Times New Roman" w:eastAsia="宋体"/>
          <w:b/>
          <w:i w:val="0"/>
          <w:sz w:val="21"/>
        </w:rPr>
        <w:t xml:space="preserve">Keywords: </w:t>
      </w:r>
      <w:r>
        <w:rPr>
          <w:rFonts w:ascii="Times New Roman" w:hAnsi="Times New Roman" w:eastAsia="宋体"/>
          <w:b w:val="0"/>
          <w:i w:val="0"/>
          <w:sz w:val="21"/>
        </w:rPr>
        <w:t>volatility targeting; drawdown control; portfolio insurance; asset allocation; retail investor constraints</w:t>
      </w:r>
    </w:p>
    <w:p>
      <w:pPr>
        <w:spacing w:before="0" w:after="0" w:line="300" w:lineRule="auto"/>
        <w:jc w:val="both"/>
      </w:pPr>
      <w:r>
        <w:rPr>
          <w:rFonts w:ascii="Times New Roman" w:hAnsi="Times New Roman" w:eastAsia="宋体"/>
          <w:b/>
          <w:i w:val="0"/>
          <w:sz w:val="21"/>
        </w:rPr>
        <w:t xml:space="preserve">JEL Classification: </w:t>
      </w:r>
      <w:r>
        <w:rPr>
          <w:rFonts w:ascii="Times New Roman" w:hAnsi="Times New Roman" w:eastAsia="宋体"/>
          <w:b w:val="0"/>
          <w:i w:val="0"/>
          <w:sz w:val="21"/>
        </w:rPr>
        <w:t>G11, G12, G23</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rPr>
        <w:rFonts w:ascii="Times New Roman" w:hAnsi="Times New Roman" w:eastAsia="宋体"/>
        <w:b w:val="0"/>
        <w:i w:val="0"/>
        <w:sz w:val="21"/>
      </w:rP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i w:val="0"/>
        <w:sz w:val="18"/>
      </w:rPr>
      <w:t>双重去杠杆陷阱：波动率目标与回撤控制的交互效应</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