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C634" w14:textId="77777777" w:rsidR="00F9755A" w:rsidRDefault="00000000">
      <w:pPr>
        <w:rPr>
          <w:rFonts w:ascii="Cambria" w:eastAsia="Cambria" w:hAnsi="Cambria" w:cs="Cambria"/>
          <w:b/>
          <w:sz w:val="32"/>
          <w:szCs w:val="32"/>
          <w:highlight w:val="white"/>
        </w:rPr>
      </w:pPr>
      <w:r>
        <w:rPr>
          <w:rFonts w:ascii="Cambria" w:eastAsia="Cambria" w:hAnsi="Cambria" w:cs="Cambria"/>
          <w:b/>
          <w:color w:val="000000"/>
          <w:sz w:val="32"/>
          <w:szCs w:val="32"/>
          <w:highlight w:val="white"/>
        </w:rPr>
        <w:t xml:space="preserve">                                      Dashboard Design</w:t>
      </w:r>
    </w:p>
    <w:p w14:paraId="231173F0" w14:textId="77777777" w:rsidR="00F9755A" w:rsidRDefault="00F9755A">
      <w:pPr>
        <w:widowControl w:val="0"/>
        <w:spacing w:before="39" w:after="0" w:line="240" w:lineRule="auto"/>
        <w:ind w:left="2701"/>
        <w:rPr>
          <w:b/>
          <w:sz w:val="28"/>
          <w:szCs w:val="28"/>
        </w:rPr>
      </w:pPr>
    </w:p>
    <w:tbl>
      <w:tblPr>
        <w:tblStyle w:val="a"/>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F9755A" w14:paraId="28C36E11" w14:textId="77777777">
        <w:trPr>
          <w:trHeight w:val="278"/>
        </w:trPr>
        <w:tc>
          <w:tcPr>
            <w:tcW w:w="4507" w:type="dxa"/>
            <w:tcMar>
              <w:top w:w="100" w:type="dxa"/>
              <w:left w:w="100" w:type="dxa"/>
              <w:bottom w:w="100" w:type="dxa"/>
              <w:right w:w="100" w:type="dxa"/>
            </w:tcMar>
          </w:tcPr>
          <w:p w14:paraId="6F9976C1" w14:textId="77777777" w:rsidR="00F9755A" w:rsidRDefault="00000000">
            <w:pPr>
              <w:widowControl w:val="0"/>
              <w:spacing w:after="0" w:line="240" w:lineRule="auto"/>
              <w:ind w:left="131"/>
            </w:pPr>
            <w:r>
              <w:t xml:space="preserve">Date </w:t>
            </w:r>
          </w:p>
        </w:tc>
        <w:tc>
          <w:tcPr>
            <w:tcW w:w="4510" w:type="dxa"/>
            <w:tcMar>
              <w:top w:w="100" w:type="dxa"/>
              <w:left w:w="100" w:type="dxa"/>
              <w:bottom w:w="100" w:type="dxa"/>
              <w:right w:w="100" w:type="dxa"/>
            </w:tcMar>
          </w:tcPr>
          <w:p w14:paraId="6D6DCFA2" w14:textId="7FAD4FC8" w:rsidR="00F9755A" w:rsidRDefault="00000000">
            <w:pPr>
              <w:widowControl w:val="0"/>
              <w:spacing w:after="0" w:line="240" w:lineRule="auto"/>
              <w:ind w:left="131"/>
            </w:pPr>
            <w:r>
              <w:t>24</w:t>
            </w:r>
            <w:r w:rsidR="00933D90">
              <w:t xml:space="preserve"> </w:t>
            </w:r>
            <w:r w:rsidR="00AD37FB">
              <w:t>September</w:t>
            </w:r>
            <w:r>
              <w:t xml:space="preserve"> 2024</w:t>
            </w:r>
          </w:p>
        </w:tc>
      </w:tr>
      <w:tr w:rsidR="00F9755A" w14:paraId="7977D778" w14:textId="77777777">
        <w:trPr>
          <w:trHeight w:val="278"/>
        </w:trPr>
        <w:tc>
          <w:tcPr>
            <w:tcW w:w="4507" w:type="dxa"/>
            <w:tcMar>
              <w:top w:w="100" w:type="dxa"/>
              <w:left w:w="100" w:type="dxa"/>
              <w:bottom w:w="100" w:type="dxa"/>
              <w:right w:w="100" w:type="dxa"/>
            </w:tcMar>
          </w:tcPr>
          <w:p w14:paraId="6C625186" w14:textId="77777777" w:rsidR="00F9755A" w:rsidRDefault="00000000">
            <w:pPr>
              <w:widowControl w:val="0"/>
              <w:spacing w:after="0" w:line="240" w:lineRule="auto"/>
              <w:ind w:left="114"/>
            </w:pPr>
            <w:r>
              <w:t xml:space="preserve">Team ID </w:t>
            </w:r>
          </w:p>
        </w:tc>
        <w:tc>
          <w:tcPr>
            <w:tcW w:w="4510" w:type="dxa"/>
            <w:tcMar>
              <w:top w:w="100" w:type="dxa"/>
              <w:left w:w="100" w:type="dxa"/>
              <w:bottom w:w="100" w:type="dxa"/>
              <w:right w:w="100" w:type="dxa"/>
            </w:tcMar>
          </w:tcPr>
          <w:p w14:paraId="12DE693C" w14:textId="77777777" w:rsidR="00F9755A" w:rsidRDefault="00000000">
            <w:pPr>
              <w:widowControl w:val="0"/>
              <w:spacing w:after="0" w:line="240" w:lineRule="auto"/>
              <w:ind w:left="131"/>
            </w:pPr>
            <w:r>
              <w:t>PNT2022TMIDxxxxxx</w:t>
            </w:r>
          </w:p>
        </w:tc>
      </w:tr>
      <w:tr w:rsidR="00F9755A" w14:paraId="6D67DDF3" w14:textId="77777777">
        <w:trPr>
          <w:trHeight w:val="278"/>
        </w:trPr>
        <w:tc>
          <w:tcPr>
            <w:tcW w:w="4507" w:type="dxa"/>
            <w:tcMar>
              <w:top w:w="100" w:type="dxa"/>
              <w:left w:w="100" w:type="dxa"/>
              <w:bottom w:w="100" w:type="dxa"/>
              <w:right w:w="100" w:type="dxa"/>
            </w:tcMar>
          </w:tcPr>
          <w:p w14:paraId="05920B09" w14:textId="77777777" w:rsidR="00F9755A" w:rsidRDefault="00000000">
            <w:pPr>
              <w:widowControl w:val="0"/>
              <w:spacing w:after="0" w:line="240" w:lineRule="auto"/>
              <w:ind w:left="131"/>
            </w:pPr>
            <w:r>
              <w:t xml:space="preserve">Project Name </w:t>
            </w:r>
          </w:p>
        </w:tc>
        <w:tc>
          <w:tcPr>
            <w:tcW w:w="4510" w:type="dxa"/>
            <w:tcMar>
              <w:top w:w="100" w:type="dxa"/>
              <w:left w:w="100" w:type="dxa"/>
              <w:bottom w:w="100" w:type="dxa"/>
              <w:right w:w="100" w:type="dxa"/>
            </w:tcMar>
          </w:tcPr>
          <w:p w14:paraId="4EBE163C" w14:textId="10B50D7C" w:rsidR="00F9755A" w:rsidRDefault="0017660E">
            <w:pPr>
              <w:widowControl w:val="0"/>
              <w:spacing w:after="0" w:line="240" w:lineRule="auto"/>
              <w:ind w:left="131"/>
            </w:pPr>
            <w:r>
              <w:t>Title of Project</w:t>
            </w:r>
          </w:p>
        </w:tc>
      </w:tr>
      <w:tr w:rsidR="00F9755A" w14:paraId="3F8E6629" w14:textId="77777777">
        <w:trPr>
          <w:trHeight w:val="278"/>
        </w:trPr>
        <w:tc>
          <w:tcPr>
            <w:tcW w:w="4507" w:type="dxa"/>
            <w:tcMar>
              <w:top w:w="100" w:type="dxa"/>
              <w:left w:w="100" w:type="dxa"/>
              <w:bottom w:w="100" w:type="dxa"/>
              <w:right w:w="100" w:type="dxa"/>
            </w:tcMar>
          </w:tcPr>
          <w:p w14:paraId="44BAB188" w14:textId="77777777" w:rsidR="00F9755A" w:rsidRDefault="00000000">
            <w:pPr>
              <w:widowControl w:val="0"/>
              <w:spacing w:after="0" w:line="240" w:lineRule="auto"/>
              <w:ind w:left="131"/>
            </w:pPr>
            <w:r>
              <w:t xml:space="preserve">Maximum Marks </w:t>
            </w:r>
          </w:p>
        </w:tc>
        <w:tc>
          <w:tcPr>
            <w:tcW w:w="4510" w:type="dxa"/>
            <w:tcMar>
              <w:top w:w="100" w:type="dxa"/>
              <w:left w:w="100" w:type="dxa"/>
              <w:bottom w:w="100" w:type="dxa"/>
              <w:right w:w="100" w:type="dxa"/>
            </w:tcMar>
          </w:tcPr>
          <w:p w14:paraId="49398ACB" w14:textId="177AF182" w:rsidR="00F9755A" w:rsidRDefault="0017660E">
            <w:pPr>
              <w:widowControl w:val="0"/>
              <w:spacing w:after="0" w:line="240" w:lineRule="auto"/>
              <w:ind w:left="125"/>
            </w:pPr>
            <w:proofErr w:type="gramStart"/>
            <w:r>
              <w:t>5  Marks</w:t>
            </w:r>
            <w:proofErr w:type="gramEnd"/>
          </w:p>
        </w:tc>
      </w:tr>
    </w:tbl>
    <w:p w14:paraId="54F2199F" w14:textId="77777777" w:rsidR="00F9755A" w:rsidRDefault="00F9755A">
      <w:pPr>
        <w:widowControl w:val="0"/>
        <w:spacing w:after="0" w:line="276" w:lineRule="auto"/>
        <w:rPr>
          <w:rFonts w:ascii="Cambria" w:eastAsia="Cambria" w:hAnsi="Cambria" w:cs="Cambria"/>
          <w:b/>
          <w:sz w:val="32"/>
          <w:szCs w:val="32"/>
          <w:highlight w:val="white"/>
        </w:rPr>
      </w:pPr>
    </w:p>
    <w:p w14:paraId="0384815C" w14:textId="77777777" w:rsidR="00CA576D" w:rsidRPr="00CA576D" w:rsidRDefault="00CA576D" w:rsidP="00CA576D">
      <w:pPr>
        <w:rPr>
          <w:rFonts w:ascii="Cambria" w:eastAsia="Cambria" w:hAnsi="Cambria" w:cs="Cambria"/>
          <w:b/>
          <w:bCs/>
          <w:color w:val="000000"/>
          <w:sz w:val="24"/>
          <w:szCs w:val="24"/>
          <w:highlight w:val="white"/>
        </w:rPr>
      </w:pPr>
      <w:r w:rsidRPr="00CA576D">
        <w:rPr>
          <w:rFonts w:ascii="Cambria" w:eastAsia="Cambria" w:hAnsi="Cambria" w:cs="Cambria"/>
          <w:b/>
          <w:bCs/>
          <w:color w:val="000000"/>
          <w:sz w:val="24"/>
          <w:szCs w:val="24"/>
          <w:highlight w:val="white"/>
        </w:rPr>
        <w:t>Activity 1: Interactive and Visually Appealing Dashboards</w:t>
      </w:r>
    </w:p>
    <w:p w14:paraId="0D635AF3" w14:textId="77777777" w:rsidR="00CA576D" w:rsidRPr="00CA576D" w:rsidRDefault="00CA576D" w:rsidP="00CA576D">
      <w:pPr>
        <w:rPr>
          <w:rFonts w:ascii="Cambria" w:eastAsia="Cambria" w:hAnsi="Cambria" w:cs="Cambria"/>
          <w:color w:val="000000"/>
          <w:sz w:val="24"/>
          <w:szCs w:val="24"/>
          <w:highlight w:val="white"/>
        </w:rPr>
      </w:pPr>
      <w:r w:rsidRPr="00CA576D">
        <w:rPr>
          <w:rFonts w:ascii="Cambria" w:eastAsia="Cambria" w:hAnsi="Cambria" w:cs="Cambria"/>
          <w:color w:val="000000"/>
          <w:sz w:val="24"/>
          <w:szCs w:val="24"/>
          <w:highlight w:val="white"/>
        </w:rPr>
        <w:t xml:space="preserve">Creating an effective dashboard is a critical step in transforming </w:t>
      </w:r>
      <w:proofErr w:type="spellStart"/>
      <w:r w:rsidRPr="00CA576D">
        <w:rPr>
          <w:rFonts w:ascii="Cambria" w:eastAsia="Cambria" w:hAnsi="Cambria" w:cs="Cambria"/>
          <w:color w:val="000000"/>
          <w:sz w:val="24"/>
          <w:szCs w:val="24"/>
          <w:highlight w:val="white"/>
        </w:rPr>
        <w:t>analyzed</w:t>
      </w:r>
      <w:proofErr w:type="spellEnd"/>
      <w:r w:rsidRPr="00CA576D">
        <w:rPr>
          <w:rFonts w:ascii="Cambria" w:eastAsia="Cambria" w:hAnsi="Cambria" w:cs="Cambria"/>
          <w:color w:val="000000"/>
          <w:sz w:val="24"/>
          <w:szCs w:val="24"/>
          <w:highlight w:val="white"/>
        </w:rPr>
        <w:t xml:space="preserve"> data into meaningful insights. For the Plant Growth Analysis project, the dashboard was designed to present environmental and agricultural data in a clear, interactive, and visually engaging manner. The focus was on ensuring ease of understanding, usability, and actionable insights for stakeholders such as farmers, greenhouse managers, and agricultural analysts.</w:t>
      </w:r>
    </w:p>
    <w:p w14:paraId="37A4DC6B" w14:textId="77777777" w:rsidR="00CA576D" w:rsidRPr="00CA576D" w:rsidRDefault="00CA576D" w:rsidP="00CA576D">
      <w:pPr>
        <w:rPr>
          <w:rFonts w:ascii="Cambria" w:eastAsia="Cambria" w:hAnsi="Cambria" w:cs="Cambria"/>
          <w:color w:val="000000"/>
          <w:sz w:val="24"/>
          <w:szCs w:val="24"/>
          <w:highlight w:val="white"/>
        </w:rPr>
      </w:pPr>
      <w:r w:rsidRPr="00CA576D">
        <w:rPr>
          <w:rFonts w:ascii="Cambria" w:eastAsia="Cambria" w:hAnsi="Cambria" w:cs="Cambria"/>
          <w:color w:val="000000"/>
          <w:sz w:val="24"/>
          <w:szCs w:val="24"/>
          <w:highlight w:val="white"/>
        </w:rPr>
        <w:t xml:space="preserve">The dashboard design follows established best practices, including a clean layout, appropriate visual selection, consistent </w:t>
      </w:r>
      <w:proofErr w:type="spellStart"/>
      <w:r w:rsidRPr="00CA576D">
        <w:rPr>
          <w:rFonts w:ascii="Cambria" w:eastAsia="Cambria" w:hAnsi="Cambria" w:cs="Cambria"/>
          <w:color w:val="000000"/>
          <w:sz w:val="24"/>
          <w:szCs w:val="24"/>
          <w:highlight w:val="white"/>
        </w:rPr>
        <w:t>color</w:t>
      </w:r>
      <w:proofErr w:type="spellEnd"/>
      <w:r w:rsidRPr="00CA576D">
        <w:rPr>
          <w:rFonts w:ascii="Cambria" w:eastAsia="Cambria" w:hAnsi="Cambria" w:cs="Cambria"/>
          <w:color w:val="000000"/>
          <w:sz w:val="24"/>
          <w:szCs w:val="24"/>
          <w:highlight w:val="white"/>
        </w:rPr>
        <w:t xml:space="preserve"> themes, and interactive features that enhance user engagement and data exploration.</w:t>
      </w:r>
    </w:p>
    <w:p w14:paraId="4AA8BAEE" w14:textId="77777777" w:rsidR="00CA576D" w:rsidRPr="00CA576D" w:rsidRDefault="00CA576D" w:rsidP="00CA576D">
      <w:pPr>
        <w:rPr>
          <w:rFonts w:ascii="Cambria" w:eastAsia="Cambria" w:hAnsi="Cambria" w:cs="Cambria"/>
          <w:b/>
          <w:bCs/>
          <w:color w:val="000000"/>
          <w:sz w:val="24"/>
          <w:szCs w:val="24"/>
          <w:highlight w:val="white"/>
        </w:rPr>
      </w:pPr>
      <w:r w:rsidRPr="00CA576D">
        <w:rPr>
          <w:rFonts w:ascii="Cambria" w:eastAsia="Cambria" w:hAnsi="Cambria" w:cs="Cambria"/>
          <w:b/>
          <w:bCs/>
          <w:color w:val="000000"/>
          <w:sz w:val="24"/>
          <w:szCs w:val="24"/>
          <w:highlight w:val="white"/>
        </w:rPr>
        <w:t>Dashboard Design Considerations</w:t>
      </w:r>
    </w:p>
    <w:p w14:paraId="46180FEE"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Clear and Intuitive Layout</w:t>
      </w:r>
      <w:r w:rsidRPr="00CA576D">
        <w:rPr>
          <w:rFonts w:ascii="Cambria" w:eastAsia="Cambria" w:hAnsi="Cambria" w:cs="Cambria"/>
          <w:color w:val="000000"/>
          <w:sz w:val="24"/>
          <w:szCs w:val="24"/>
          <w:highlight w:val="white"/>
        </w:rPr>
        <w:br/>
        <w:t>The dashboard layout is structured logically, with key performance indicators placed at the top, followed by detailed visualizations. This ensures users can quickly grasp overall plant growth performance before exploring deeper insights.</w:t>
      </w:r>
    </w:p>
    <w:p w14:paraId="242804A4"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Use of Appropriate Visualizations</w:t>
      </w:r>
      <w:r w:rsidRPr="00CA576D">
        <w:rPr>
          <w:rFonts w:ascii="Cambria" w:eastAsia="Cambria" w:hAnsi="Cambria" w:cs="Cambria"/>
          <w:color w:val="000000"/>
          <w:sz w:val="24"/>
          <w:szCs w:val="24"/>
          <w:highlight w:val="white"/>
        </w:rPr>
        <w:br/>
        <w:t>Bar charts, column charts, pie charts, and cards are used based on the type of data being represented. Growth milestone counts, percentages, and averages are displayed using visuals best suited for comparison and trend analysis.</w:t>
      </w:r>
    </w:p>
    <w:p w14:paraId="2E46BFA0"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Colour and Theming</w:t>
      </w:r>
      <w:r w:rsidRPr="00CA576D">
        <w:rPr>
          <w:rFonts w:ascii="Cambria" w:eastAsia="Cambria" w:hAnsi="Cambria" w:cs="Cambria"/>
          <w:color w:val="000000"/>
          <w:sz w:val="24"/>
          <w:szCs w:val="24"/>
          <w:highlight w:val="white"/>
        </w:rPr>
        <w:br/>
        <w:t xml:space="preserve">A consistent and minimal </w:t>
      </w:r>
      <w:proofErr w:type="spellStart"/>
      <w:r w:rsidRPr="00CA576D">
        <w:rPr>
          <w:rFonts w:ascii="Cambria" w:eastAsia="Cambria" w:hAnsi="Cambria" w:cs="Cambria"/>
          <w:color w:val="000000"/>
          <w:sz w:val="24"/>
          <w:szCs w:val="24"/>
          <w:highlight w:val="white"/>
        </w:rPr>
        <w:t>color</w:t>
      </w:r>
      <w:proofErr w:type="spellEnd"/>
      <w:r w:rsidRPr="00CA576D">
        <w:rPr>
          <w:rFonts w:ascii="Cambria" w:eastAsia="Cambria" w:hAnsi="Cambria" w:cs="Cambria"/>
          <w:color w:val="000000"/>
          <w:sz w:val="24"/>
          <w:szCs w:val="24"/>
          <w:highlight w:val="white"/>
        </w:rPr>
        <w:t xml:space="preserve"> palette is applied throughout the dashboard. Natural </w:t>
      </w:r>
      <w:proofErr w:type="spellStart"/>
      <w:r w:rsidRPr="00CA576D">
        <w:rPr>
          <w:rFonts w:ascii="Cambria" w:eastAsia="Cambria" w:hAnsi="Cambria" w:cs="Cambria"/>
          <w:color w:val="000000"/>
          <w:sz w:val="24"/>
          <w:szCs w:val="24"/>
          <w:highlight w:val="white"/>
        </w:rPr>
        <w:t>colors</w:t>
      </w:r>
      <w:proofErr w:type="spellEnd"/>
      <w:r w:rsidRPr="00CA576D">
        <w:rPr>
          <w:rFonts w:ascii="Cambria" w:eastAsia="Cambria" w:hAnsi="Cambria" w:cs="Cambria"/>
          <w:color w:val="000000"/>
          <w:sz w:val="24"/>
          <w:szCs w:val="24"/>
          <w:highlight w:val="white"/>
        </w:rPr>
        <w:t xml:space="preserve"> such as green and blue are used to align with the agricultural theme and improve visual clarity.</w:t>
      </w:r>
    </w:p>
    <w:p w14:paraId="6B3231DE"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Interactive Filters and Slicers</w:t>
      </w:r>
      <w:r w:rsidRPr="00CA576D">
        <w:rPr>
          <w:rFonts w:ascii="Cambria" w:eastAsia="Cambria" w:hAnsi="Cambria" w:cs="Cambria"/>
          <w:color w:val="000000"/>
          <w:sz w:val="24"/>
          <w:szCs w:val="24"/>
          <w:highlight w:val="white"/>
        </w:rPr>
        <w:br/>
      </w:r>
      <w:proofErr w:type="spellStart"/>
      <w:r w:rsidRPr="00CA576D">
        <w:rPr>
          <w:rFonts w:ascii="Cambria" w:eastAsia="Cambria" w:hAnsi="Cambria" w:cs="Cambria"/>
          <w:color w:val="000000"/>
          <w:sz w:val="24"/>
          <w:szCs w:val="24"/>
          <w:highlight w:val="white"/>
        </w:rPr>
        <w:t>Slicers</w:t>
      </w:r>
      <w:proofErr w:type="spellEnd"/>
      <w:r w:rsidRPr="00CA576D">
        <w:rPr>
          <w:rFonts w:ascii="Cambria" w:eastAsia="Cambria" w:hAnsi="Cambria" w:cs="Cambria"/>
          <w:color w:val="000000"/>
          <w:sz w:val="24"/>
          <w:szCs w:val="24"/>
          <w:highlight w:val="white"/>
        </w:rPr>
        <w:t xml:space="preserve"> are implemented for soil type, water frequency, fertilizer type, temperature range, and humidity level. These allow users to dynamically filter data and observe changes in visualizations instantly.</w:t>
      </w:r>
    </w:p>
    <w:p w14:paraId="7FAFFC31"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Drill-Down Capabilities</w:t>
      </w:r>
      <w:r w:rsidRPr="00CA576D">
        <w:rPr>
          <w:rFonts w:ascii="Cambria" w:eastAsia="Cambria" w:hAnsi="Cambria" w:cs="Cambria"/>
          <w:color w:val="000000"/>
          <w:sz w:val="24"/>
          <w:szCs w:val="24"/>
          <w:highlight w:val="white"/>
        </w:rPr>
        <w:br/>
        <w:t xml:space="preserve">Drill-down functionality enables users to explore data at different levels, such as </w:t>
      </w:r>
      <w:proofErr w:type="spellStart"/>
      <w:r w:rsidRPr="00CA576D">
        <w:rPr>
          <w:rFonts w:ascii="Cambria" w:eastAsia="Cambria" w:hAnsi="Cambria" w:cs="Cambria"/>
          <w:color w:val="000000"/>
          <w:sz w:val="24"/>
          <w:szCs w:val="24"/>
          <w:highlight w:val="white"/>
        </w:rPr>
        <w:lastRenderedPageBreak/>
        <w:t>analyzing</w:t>
      </w:r>
      <w:proofErr w:type="spellEnd"/>
      <w:r w:rsidRPr="00CA576D">
        <w:rPr>
          <w:rFonts w:ascii="Cambria" w:eastAsia="Cambria" w:hAnsi="Cambria" w:cs="Cambria"/>
          <w:color w:val="000000"/>
          <w:sz w:val="24"/>
          <w:szCs w:val="24"/>
          <w:highlight w:val="white"/>
        </w:rPr>
        <w:t xml:space="preserve"> growth milestone counts by soil type and further breaking them down by water frequency or fertilizer type.</w:t>
      </w:r>
    </w:p>
    <w:p w14:paraId="1D6AEF65"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Responsive Design</w:t>
      </w:r>
      <w:r w:rsidRPr="00CA576D">
        <w:rPr>
          <w:rFonts w:ascii="Cambria" w:eastAsia="Cambria" w:hAnsi="Cambria" w:cs="Cambria"/>
          <w:color w:val="000000"/>
          <w:sz w:val="24"/>
          <w:szCs w:val="24"/>
          <w:highlight w:val="white"/>
        </w:rPr>
        <w:br/>
        <w:t>The dashboard is designed to adapt well across different screen sizes, ensuring usability on laptops and large display screens without loss of readability.</w:t>
      </w:r>
    </w:p>
    <w:p w14:paraId="2A6EB874"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Custom Visuals and Icons</w:t>
      </w:r>
      <w:r w:rsidRPr="00CA576D">
        <w:rPr>
          <w:rFonts w:ascii="Cambria" w:eastAsia="Cambria" w:hAnsi="Cambria" w:cs="Cambria"/>
          <w:color w:val="000000"/>
          <w:sz w:val="24"/>
          <w:szCs w:val="24"/>
          <w:highlight w:val="white"/>
        </w:rPr>
        <w:br/>
      </w:r>
      <w:proofErr w:type="spellStart"/>
      <w:r w:rsidRPr="00CA576D">
        <w:rPr>
          <w:rFonts w:ascii="Cambria" w:eastAsia="Cambria" w:hAnsi="Cambria" w:cs="Cambria"/>
          <w:color w:val="000000"/>
          <w:sz w:val="24"/>
          <w:szCs w:val="24"/>
          <w:highlight w:val="white"/>
        </w:rPr>
        <w:t>Icons</w:t>
      </w:r>
      <w:proofErr w:type="spellEnd"/>
      <w:r w:rsidRPr="00CA576D">
        <w:rPr>
          <w:rFonts w:ascii="Cambria" w:eastAsia="Cambria" w:hAnsi="Cambria" w:cs="Cambria"/>
          <w:color w:val="000000"/>
          <w:sz w:val="24"/>
          <w:szCs w:val="24"/>
          <w:highlight w:val="white"/>
        </w:rPr>
        <w:t xml:space="preserve"> and custom visuals are used to represent environmental factors like sunlight, water, and temperature, making the dashboard more intuitive and visually engaging.</w:t>
      </w:r>
    </w:p>
    <w:p w14:paraId="74A70DE8" w14:textId="77777777" w:rsidR="00CA576D" w:rsidRPr="00CA576D" w:rsidRDefault="00CA576D" w:rsidP="00CA576D">
      <w:pPr>
        <w:numPr>
          <w:ilvl w:val="0"/>
          <w:numId w:val="3"/>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Use of Infographics</w:t>
      </w:r>
      <w:r w:rsidRPr="00CA576D">
        <w:rPr>
          <w:rFonts w:ascii="Cambria" w:eastAsia="Cambria" w:hAnsi="Cambria" w:cs="Cambria"/>
          <w:color w:val="000000"/>
          <w:sz w:val="24"/>
          <w:szCs w:val="24"/>
          <w:highlight w:val="white"/>
        </w:rPr>
        <w:br/>
        <w:t>Infographic-style cards are used to display key metrics such as total growth milestone count, average temperature, average humidity, and average sunlight hours.</w:t>
      </w:r>
    </w:p>
    <w:p w14:paraId="47CD8055" w14:textId="77777777" w:rsidR="00CA576D" w:rsidRPr="00CA576D" w:rsidRDefault="00CA576D" w:rsidP="00CA576D">
      <w:pPr>
        <w:rPr>
          <w:rFonts w:ascii="Cambria" w:eastAsia="Cambria" w:hAnsi="Cambria" w:cs="Cambria"/>
          <w:color w:val="000000"/>
          <w:sz w:val="24"/>
          <w:szCs w:val="24"/>
          <w:highlight w:val="white"/>
        </w:rPr>
      </w:pPr>
      <w:r w:rsidRPr="00CA576D">
        <w:rPr>
          <w:rFonts w:ascii="Cambria" w:eastAsia="Cambria" w:hAnsi="Cambria" w:cs="Cambria"/>
          <w:color w:val="000000"/>
          <w:sz w:val="24"/>
          <w:szCs w:val="24"/>
          <w:highlight w:val="white"/>
        </w:rPr>
        <w:pict w14:anchorId="324B0827">
          <v:rect id="_x0000_i1031" style="width:0;height:1.5pt" o:hralign="center" o:hrstd="t" o:hr="t" fillcolor="#a0a0a0" stroked="f"/>
        </w:pict>
      </w:r>
    </w:p>
    <w:p w14:paraId="31C10AE1" w14:textId="77777777" w:rsidR="00CA576D" w:rsidRPr="00CA576D" w:rsidRDefault="00CA576D" w:rsidP="00CA576D">
      <w:pPr>
        <w:rPr>
          <w:rFonts w:ascii="Cambria" w:eastAsia="Cambria" w:hAnsi="Cambria" w:cs="Cambria"/>
          <w:b/>
          <w:bCs/>
          <w:color w:val="000000"/>
          <w:sz w:val="24"/>
          <w:szCs w:val="24"/>
          <w:highlight w:val="white"/>
        </w:rPr>
      </w:pPr>
      <w:r w:rsidRPr="00CA576D">
        <w:rPr>
          <w:rFonts w:ascii="Cambria" w:eastAsia="Cambria" w:hAnsi="Cambria" w:cs="Cambria"/>
          <w:b/>
          <w:bCs/>
          <w:color w:val="000000"/>
          <w:sz w:val="24"/>
          <w:szCs w:val="24"/>
          <w:highlight w:val="white"/>
        </w:rPr>
        <w:t>Major Outcomes from the Dashboard</w:t>
      </w:r>
    </w:p>
    <w:p w14:paraId="55CB36F3" w14:textId="77777777" w:rsidR="00CA576D" w:rsidRPr="00CA576D" w:rsidRDefault="00CA576D" w:rsidP="00CA576D">
      <w:pPr>
        <w:numPr>
          <w:ilvl w:val="0"/>
          <w:numId w:val="4"/>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Growth Milestone Distribution Insight</w:t>
      </w:r>
      <w:r w:rsidRPr="00CA576D">
        <w:rPr>
          <w:rFonts w:ascii="Cambria" w:eastAsia="Cambria" w:hAnsi="Cambria" w:cs="Cambria"/>
          <w:color w:val="000000"/>
          <w:sz w:val="24"/>
          <w:szCs w:val="24"/>
          <w:highlight w:val="white"/>
        </w:rPr>
        <w:br/>
        <w:t xml:space="preserve">The dashboard clearly shows the total count of growth milestones achieved across different environmental conditions, helping identify </w:t>
      </w:r>
      <w:proofErr w:type="spellStart"/>
      <w:r w:rsidRPr="00CA576D">
        <w:rPr>
          <w:rFonts w:ascii="Cambria" w:eastAsia="Cambria" w:hAnsi="Cambria" w:cs="Cambria"/>
          <w:color w:val="000000"/>
          <w:sz w:val="24"/>
          <w:szCs w:val="24"/>
          <w:highlight w:val="white"/>
        </w:rPr>
        <w:t>favorable</w:t>
      </w:r>
      <w:proofErr w:type="spellEnd"/>
      <w:r w:rsidRPr="00CA576D">
        <w:rPr>
          <w:rFonts w:ascii="Cambria" w:eastAsia="Cambria" w:hAnsi="Cambria" w:cs="Cambria"/>
          <w:color w:val="000000"/>
          <w:sz w:val="24"/>
          <w:szCs w:val="24"/>
          <w:highlight w:val="white"/>
        </w:rPr>
        <w:t xml:space="preserve"> growth patterns.</w:t>
      </w:r>
    </w:p>
    <w:p w14:paraId="7007E09D" w14:textId="77777777" w:rsidR="00CA576D" w:rsidRPr="00CA576D" w:rsidRDefault="00CA576D" w:rsidP="00CA576D">
      <w:pPr>
        <w:numPr>
          <w:ilvl w:val="0"/>
          <w:numId w:val="4"/>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Impact of Soil Type on Plant Growth</w:t>
      </w:r>
      <w:r w:rsidRPr="00CA576D">
        <w:rPr>
          <w:rFonts w:ascii="Cambria" w:eastAsia="Cambria" w:hAnsi="Cambria" w:cs="Cambria"/>
          <w:color w:val="000000"/>
          <w:sz w:val="24"/>
          <w:szCs w:val="24"/>
          <w:highlight w:val="white"/>
        </w:rPr>
        <w:br/>
        <w:t>Visualizations indicate that certain soil types, particularly loam soil, consistently achieve higher growth milestone counts compared to other soil types.</w:t>
      </w:r>
    </w:p>
    <w:p w14:paraId="7940ED27" w14:textId="77777777" w:rsidR="00CA576D" w:rsidRPr="00CA576D" w:rsidRDefault="00CA576D" w:rsidP="00CA576D">
      <w:pPr>
        <w:numPr>
          <w:ilvl w:val="0"/>
          <w:numId w:val="4"/>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Water Frequency Optimization</w:t>
      </w:r>
      <w:r w:rsidRPr="00CA576D">
        <w:rPr>
          <w:rFonts w:ascii="Cambria" w:eastAsia="Cambria" w:hAnsi="Cambria" w:cs="Cambria"/>
          <w:color w:val="000000"/>
          <w:sz w:val="24"/>
          <w:szCs w:val="24"/>
          <w:highlight w:val="white"/>
        </w:rPr>
        <w:br/>
        <w:t>The analysis highlights how water frequency directly influences growth milestone percentages, enabling better irrigation planning.</w:t>
      </w:r>
    </w:p>
    <w:p w14:paraId="4AD6F6C4" w14:textId="77777777" w:rsidR="00CA576D" w:rsidRPr="00CA576D" w:rsidRDefault="00CA576D" w:rsidP="00CA576D">
      <w:pPr>
        <w:numPr>
          <w:ilvl w:val="0"/>
          <w:numId w:val="4"/>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Environmental Condition Analysis</w:t>
      </w:r>
      <w:r w:rsidRPr="00CA576D">
        <w:rPr>
          <w:rFonts w:ascii="Cambria" w:eastAsia="Cambria" w:hAnsi="Cambria" w:cs="Cambria"/>
          <w:color w:val="000000"/>
          <w:sz w:val="24"/>
          <w:szCs w:val="24"/>
          <w:highlight w:val="white"/>
        </w:rPr>
        <w:br/>
        <w:t>Average temperature, humidity, and sunlight hour visuals reveal the optimal environmental ranges that support healthy plant growth.</w:t>
      </w:r>
    </w:p>
    <w:p w14:paraId="33C591F3" w14:textId="77777777" w:rsidR="00CA576D" w:rsidRPr="00CA576D" w:rsidRDefault="00CA576D" w:rsidP="00CA576D">
      <w:pPr>
        <w:numPr>
          <w:ilvl w:val="0"/>
          <w:numId w:val="4"/>
        </w:numPr>
        <w:rPr>
          <w:rFonts w:ascii="Cambria" w:eastAsia="Cambria" w:hAnsi="Cambria" w:cs="Cambria"/>
          <w:color w:val="000000"/>
          <w:sz w:val="24"/>
          <w:szCs w:val="24"/>
          <w:highlight w:val="white"/>
        </w:rPr>
      </w:pPr>
      <w:r w:rsidRPr="00CA576D">
        <w:rPr>
          <w:rFonts w:ascii="Cambria" w:eastAsia="Cambria" w:hAnsi="Cambria" w:cs="Cambria"/>
          <w:b/>
          <w:bCs/>
          <w:color w:val="000000"/>
          <w:sz w:val="24"/>
          <w:szCs w:val="24"/>
          <w:highlight w:val="white"/>
        </w:rPr>
        <w:t>Interactive Decision Support</w:t>
      </w:r>
      <w:r w:rsidRPr="00CA576D">
        <w:rPr>
          <w:rFonts w:ascii="Cambria" w:eastAsia="Cambria" w:hAnsi="Cambria" w:cs="Cambria"/>
          <w:color w:val="000000"/>
          <w:sz w:val="24"/>
          <w:szCs w:val="24"/>
          <w:highlight w:val="white"/>
        </w:rPr>
        <w:br/>
        <w:t>The use of slicers and drill-down features allows stakeholders to interact with the data, compare scenarios, and make informed agricultural decisions efficiently.</w:t>
      </w:r>
    </w:p>
    <w:p w14:paraId="2F4AFFB4" w14:textId="77777777" w:rsidR="00293C5D" w:rsidRDefault="00293C5D" w:rsidP="00CA576D"/>
    <w:sectPr w:rsidR="00293C5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C2AF4A5-69AC-4C42-9BD9-702E53AFD98A}"/>
  </w:font>
  <w:font w:name="Calibri">
    <w:panose1 w:val="020F0502020204030204"/>
    <w:charset w:val="00"/>
    <w:family w:val="swiss"/>
    <w:pitch w:val="variable"/>
    <w:sig w:usb0="E4002EFF" w:usb1="C200247B" w:usb2="00000009" w:usb3="00000000" w:csb0="000001FF" w:csb1="00000000"/>
    <w:embedRegular r:id="rId2" w:fontKey="{078B5743-C760-41C7-9540-D2990DF3174E}"/>
    <w:embedBold r:id="rId3" w:fontKey="{0BA0E0BB-9CBF-42BD-8ED4-852C9FD102AA}"/>
  </w:font>
  <w:font w:name="Georgia">
    <w:panose1 w:val="02040502050405020303"/>
    <w:charset w:val="00"/>
    <w:family w:val="roman"/>
    <w:pitch w:val="variable"/>
    <w:sig w:usb0="00000287" w:usb1="00000000" w:usb2="00000000" w:usb3="00000000" w:csb0="0000009F" w:csb1="00000000"/>
    <w:embedRegular r:id="rId4" w:fontKey="{B216B7CB-703A-4A66-993F-053A85C95EF8}"/>
    <w:embedItalic r:id="rId5" w:fontKey="{556D3B8C-C3D9-42C1-A0FE-4A2DDA1786BB}"/>
  </w:font>
  <w:font w:name="Cambria">
    <w:panose1 w:val="02040503050406030204"/>
    <w:charset w:val="00"/>
    <w:family w:val="roman"/>
    <w:pitch w:val="variable"/>
    <w:sig w:usb0="E00006FF" w:usb1="420024FF" w:usb2="02000000" w:usb3="00000000" w:csb0="0000019F" w:csb1="00000000"/>
    <w:embedRegular r:id="rId6" w:fontKey="{C37D7A3A-ACDF-474C-AAF9-6257D555BCCA}"/>
    <w:embedBold r:id="rId7" w:fontKey="{2FE8B600-B0EB-435E-B2C5-520B0A75F9C9}"/>
  </w:font>
  <w:font w:name="Calibri Light">
    <w:panose1 w:val="020F0302020204030204"/>
    <w:charset w:val="00"/>
    <w:family w:val="swiss"/>
    <w:pitch w:val="variable"/>
    <w:sig w:usb0="E4002EFF" w:usb1="C200247B" w:usb2="00000009" w:usb3="00000000" w:csb0="000001FF" w:csb1="00000000"/>
    <w:embedRegular r:id="rId8" w:fontKey="{925498BB-3859-4609-A05C-1D390A436A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B6063"/>
    <w:multiLevelType w:val="multilevel"/>
    <w:tmpl w:val="FF88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53365"/>
    <w:multiLevelType w:val="multilevel"/>
    <w:tmpl w:val="CBB6A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FF5D56"/>
    <w:multiLevelType w:val="multilevel"/>
    <w:tmpl w:val="CBBC8C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44F94CDE"/>
    <w:multiLevelType w:val="multilevel"/>
    <w:tmpl w:val="47DE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1020336">
    <w:abstractNumId w:val="2"/>
  </w:num>
  <w:num w:numId="2" w16cid:durableId="597759194">
    <w:abstractNumId w:val="3"/>
  </w:num>
  <w:num w:numId="3" w16cid:durableId="1143548147">
    <w:abstractNumId w:val="0"/>
  </w:num>
  <w:num w:numId="4" w16cid:durableId="8561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755A"/>
    <w:rsid w:val="0017660E"/>
    <w:rsid w:val="00293C5D"/>
    <w:rsid w:val="002F29A4"/>
    <w:rsid w:val="00933D90"/>
    <w:rsid w:val="00AD37FB"/>
    <w:rsid w:val="00CA576D"/>
    <w:rsid w:val="00D043A9"/>
    <w:rsid w:val="00D3353A"/>
    <w:rsid w:val="00F9755A"/>
    <w:rsid w:val="00FF6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A6692"/>
  <w15:docId w15:val="{3FAF9F86-E290-4697-9FCA-4EA77CB7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295073">
      <w:bodyDiv w:val="1"/>
      <w:marLeft w:val="0"/>
      <w:marRight w:val="0"/>
      <w:marTop w:val="0"/>
      <w:marBottom w:val="0"/>
      <w:divBdr>
        <w:top w:val="none" w:sz="0" w:space="0" w:color="auto"/>
        <w:left w:val="none" w:sz="0" w:space="0" w:color="auto"/>
        <w:bottom w:val="none" w:sz="0" w:space="0" w:color="auto"/>
        <w:right w:val="none" w:sz="0" w:space="0" w:color="auto"/>
      </w:divBdr>
    </w:div>
    <w:div w:id="8238619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WDxcuUify8Cnrp+LC/CCTGJVw==">CgMxLjA4AHIhMTdFaC1wTlF3SWNHN0dyNU1DWFA0bENxckc4RTFIRnRY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537</Words>
  <Characters>3064</Characters>
  <Application>Microsoft Office Word</Application>
  <DocSecurity>0</DocSecurity>
  <Lines>25</Lines>
  <Paragraphs>7</Paragraphs>
  <ScaleCrop>false</ScaleCrop>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rohitgupta2502@outlook.com</cp:lastModifiedBy>
  <cp:revision>7</cp:revision>
  <dcterms:created xsi:type="dcterms:W3CDTF">2024-01-13T08:54:00Z</dcterms:created>
  <dcterms:modified xsi:type="dcterms:W3CDTF">2025-12-24T09:19:00Z</dcterms:modified>
</cp:coreProperties>
</file>