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A45DC" w14:textId="46225C65" w:rsidR="00720545" w:rsidRDefault="00A20696" w:rsidP="00A20696">
      <w:pPr>
        <w:jc w:val="center"/>
        <w:rPr>
          <w:rFonts w:ascii="Cambria" w:eastAsia="Cambria" w:hAnsi="Cambria" w:cs="Cambria"/>
          <w:b/>
          <w:color w:val="000000"/>
          <w:sz w:val="32"/>
          <w:szCs w:val="32"/>
        </w:rPr>
      </w:pPr>
      <w:r>
        <w:rPr>
          <w:rFonts w:ascii="Cambria" w:eastAsia="Cambria" w:hAnsi="Cambria" w:cs="Cambria"/>
          <w:b/>
          <w:color w:val="000000"/>
          <w:sz w:val="32"/>
          <w:szCs w:val="32"/>
        </w:rPr>
        <w:t>Report</w:t>
      </w:r>
    </w:p>
    <w:p w14:paraId="66070560" w14:textId="77777777" w:rsidR="00720545" w:rsidRDefault="00720545">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720545" w14:paraId="223028FB" w14:textId="77777777">
        <w:trPr>
          <w:jc w:val="center"/>
        </w:trPr>
        <w:tc>
          <w:tcPr>
            <w:tcW w:w="4508" w:type="dxa"/>
          </w:tcPr>
          <w:p w14:paraId="366628D7" w14:textId="77777777" w:rsidR="00720545" w:rsidRDefault="00000000">
            <w:pPr>
              <w:rPr>
                <w:rFonts w:ascii="Arial" w:eastAsia="Arial" w:hAnsi="Arial" w:cs="Arial"/>
              </w:rPr>
            </w:pPr>
            <w:r>
              <w:rPr>
                <w:rFonts w:ascii="Arial" w:eastAsia="Arial" w:hAnsi="Arial" w:cs="Arial"/>
              </w:rPr>
              <w:t>Date</w:t>
            </w:r>
          </w:p>
        </w:tc>
        <w:tc>
          <w:tcPr>
            <w:tcW w:w="4843" w:type="dxa"/>
          </w:tcPr>
          <w:p w14:paraId="08398857" w14:textId="649C5CDC" w:rsidR="00720545" w:rsidRDefault="00000000">
            <w:pPr>
              <w:rPr>
                <w:rFonts w:ascii="Arial" w:eastAsia="Arial" w:hAnsi="Arial" w:cs="Arial"/>
              </w:rPr>
            </w:pPr>
            <w:r>
              <w:rPr>
                <w:rFonts w:ascii="Arial" w:eastAsia="Arial" w:hAnsi="Arial" w:cs="Arial"/>
              </w:rPr>
              <w:t xml:space="preserve">24 </w:t>
            </w:r>
            <w:r w:rsidR="00642171">
              <w:rPr>
                <w:rFonts w:ascii="Arial" w:eastAsia="Arial" w:hAnsi="Arial" w:cs="Arial"/>
              </w:rPr>
              <w:t xml:space="preserve">September </w:t>
            </w:r>
            <w:r>
              <w:rPr>
                <w:rFonts w:ascii="Arial" w:eastAsia="Arial" w:hAnsi="Arial" w:cs="Arial"/>
              </w:rPr>
              <w:t>2024</w:t>
            </w:r>
          </w:p>
        </w:tc>
      </w:tr>
      <w:tr w:rsidR="00720545" w14:paraId="55E5A78E" w14:textId="77777777">
        <w:trPr>
          <w:jc w:val="center"/>
        </w:trPr>
        <w:tc>
          <w:tcPr>
            <w:tcW w:w="4508" w:type="dxa"/>
          </w:tcPr>
          <w:p w14:paraId="2CA0E194" w14:textId="77777777" w:rsidR="00720545" w:rsidRDefault="00000000">
            <w:pPr>
              <w:rPr>
                <w:rFonts w:ascii="Arial" w:eastAsia="Arial" w:hAnsi="Arial" w:cs="Arial"/>
              </w:rPr>
            </w:pPr>
            <w:r>
              <w:rPr>
                <w:rFonts w:ascii="Arial" w:eastAsia="Arial" w:hAnsi="Arial" w:cs="Arial"/>
              </w:rPr>
              <w:t>Team ID</w:t>
            </w:r>
          </w:p>
        </w:tc>
        <w:tc>
          <w:tcPr>
            <w:tcW w:w="4843" w:type="dxa"/>
          </w:tcPr>
          <w:p w14:paraId="32FAADAD" w14:textId="77777777" w:rsidR="00720545" w:rsidRDefault="00000000">
            <w:pPr>
              <w:rPr>
                <w:rFonts w:ascii="Arial" w:eastAsia="Arial" w:hAnsi="Arial" w:cs="Arial"/>
              </w:rPr>
            </w:pPr>
            <w:r>
              <w:rPr>
                <w:rFonts w:ascii="Arial" w:eastAsia="Arial" w:hAnsi="Arial" w:cs="Arial"/>
              </w:rPr>
              <w:t>PNT2022TMIDxxxxxx</w:t>
            </w:r>
          </w:p>
        </w:tc>
      </w:tr>
      <w:tr w:rsidR="00720545" w14:paraId="20C7BF55" w14:textId="77777777">
        <w:trPr>
          <w:jc w:val="center"/>
        </w:trPr>
        <w:tc>
          <w:tcPr>
            <w:tcW w:w="4508" w:type="dxa"/>
          </w:tcPr>
          <w:p w14:paraId="6659C707" w14:textId="77777777" w:rsidR="00720545" w:rsidRDefault="00000000">
            <w:pPr>
              <w:rPr>
                <w:rFonts w:ascii="Arial" w:eastAsia="Arial" w:hAnsi="Arial" w:cs="Arial"/>
              </w:rPr>
            </w:pPr>
            <w:r>
              <w:rPr>
                <w:rFonts w:ascii="Arial" w:eastAsia="Arial" w:hAnsi="Arial" w:cs="Arial"/>
              </w:rPr>
              <w:t>Project Name</w:t>
            </w:r>
          </w:p>
        </w:tc>
        <w:tc>
          <w:tcPr>
            <w:tcW w:w="4843" w:type="dxa"/>
          </w:tcPr>
          <w:p w14:paraId="1D354C95" w14:textId="1992BC52" w:rsidR="00720545" w:rsidRDefault="00642171">
            <w:pPr>
              <w:rPr>
                <w:rFonts w:ascii="Arial" w:eastAsia="Arial" w:hAnsi="Arial" w:cs="Arial"/>
              </w:rPr>
            </w:pPr>
            <w:r>
              <w:rPr>
                <w:rFonts w:ascii="Arial" w:eastAsia="Arial" w:hAnsi="Arial" w:cs="Arial"/>
              </w:rPr>
              <w:t>Title</w:t>
            </w:r>
          </w:p>
        </w:tc>
      </w:tr>
      <w:tr w:rsidR="00720545" w14:paraId="52F170A6" w14:textId="77777777">
        <w:trPr>
          <w:jc w:val="center"/>
        </w:trPr>
        <w:tc>
          <w:tcPr>
            <w:tcW w:w="4508" w:type="dxa"/>
          </w:tcPr>
          <w:p w14:paraId="2A03D322" w14:textId="77777777" w:rsidR="00720545" w:rsidRDefault="00000000">
            <w:pPr>
              <w:rPr>
                <w:rFonts w:ascii="Arial" w:eastAsia="Arial" w:hAnsi="Arial" w:cs="Arial"/>
              </w:rPr>
            </w:pPr>
            <w:r>
              <w:rPr>
                <w:rFonts w:ascii="Arial" w:eastAsia="Arial" w:hAnsi="Arial" w:cs="Arial"/>
              </w:rPr>
              <w:t>Maximum Marks</w:t>
            </w:r>
          </w:p>
        </w:tc>
        <w:tc>
          <w:tcPr>
            <w:tcW w:w="4843" w:type="dxa"/>
          </w:tcPr>
          <w:p w14:paraId="6FC77C1E" w14:textId="70451DDC" w:rsidR="00720545" w:rsidRDefault="00A20696">
            <w:pPr>
              <w:rPr>
                <w:rFonts w:ascii="Arial" w:eastAsia="Arial" w:hAnsi="Arial" w:cs="Arial"/>
              </w:rPr>
            </w:pPr>
            <w:r>
              <w:rPr>
                <w:rFonts w:ascii="Arial" w:eastAsia="Arial" w:hAnsi="Arial" w:cs="Arial"/>
              </w:rPr>
              <w:t>5 Marks</w:t>
            </w:r>
          </w:p>
        </w:tc>
      </w:tr>
    </w:tbl>
    <w:p w14:paraId="137B83EC" w14:textId="77777777" w:rsidR="00720545" w:rsidRDefault="00720545">
      <w:pPr>
        <w:rPr>
          <w:rFonts w:ascii="Cambria" w:eastAsia="Cambria" w:hAnsi="Cambria" w:cs="Cambria"/>
          <w:color w:val="000000"/>
          <w:sz w:val="24"/>
          <w:szCs w:val="24"/>
          <w:highlight w:val="white"/>
        </w:rPr>
      </w:pPr>
    </w:p>
    <w:p w14:paraId="5D62A022" w14:textId="77777777" w:rsidR="00DF1804" w:rsidRPr="00DF1804" w:rsidRDefault="00DF1804" w:rsidP="00DF1804">
      <w:pPr>
        <w:spacing w:before="100" w:beforeAutospacing="1" w:after="100" w:afterAutospacing="1" w:line="240" w:lineRule="auto"/>
        <w:ind w:left="720"/>
        <w:rPr>
          <w:rFonts w:asciiTheme="minorHAnsi" w:eastAsia="Times New Roman" w:hAnsiTheme="minorHAnsi" w:cstheme="minorHAnsi"/>
          <w:b/>
          <w:bCs/>
        </w:rPr>
      </w:pPr>
      <w:r w:rsidRPr="00DF1804">
        <w:rPr>
          <w:rFonts w:asciiTheme="minorHAnsi" w:eastAsia="Times New Roman" w:hAnsiTheme="minorHAnsi" w:cstheme="minorHAnsi"/>
          <w:b/>
          <w:bCs/>
        </w:rPr>
        <w:t>Report and Observations</w:t>
      </w:r>
    </w:p>
    <w:p w14:paraId="2BA63077" w14:textId="77777777" w:rsidR="00DF1804" w:rsidRPr="00DF1804" w:rsidRDefault="00DF1804" w:rsidP="00DF1804">
      <w:pPr>
        <w:spacing w:before="100" w:beforeAutospacing="1" w:after="100" w:afterAutospacing="1" w:line="240" w:lineRule="auto"/>
        <w:ind w:left="720"/>
        <w:rPr>
          <w:rFonts w:asciiTheme="minorHAnsi" w:eastAsia="Times New Roman" w:hAnsiTheme="minorHAnsi" w:cstheme="minorHAnsi"/>
        </w:rPr>
      </w:pPr>
      <w:r w:rsidRPr="00DF1804">
        <w:rPr>
          <w:rFonts w:asciiTheme="minorHAnsi" w:eastAsia="Times New Roman" w:hAnsiTheme="minorHAnsi" w:cstheme="minorHAnsi"/>
        </w:rPr>
        <w:t>A report is a comprehensive and structured document that presents detailed analysis, findings, and insights derived from data. In the Plant Growth Analysis project, the Power BI report serves as a key communication tool for presenting the impact of environmental and management factors on plant growth milestones. The report is designed to support decision-makers, agricultural analysts, and greenhouse managers by providing clear visual representations and well-organized insights.</w:t>
      </w:r>
    </w:p>
    <w:p w14:paraId="219DFF3A" w14:textId="77777777" w:rsidR="00DF1804" w:rsidRPr="00DF1804" w:rsidRDefault="00DF1804" w:rsidP="00DF1804">
      <w:pPr>
        <w:spacing w:before="100" w:beforeAutospacing="1" w:after="100" w:afterAutospacing="1" w:line="240" w:lineRule="auto"/>
        <w:ind w:left="720"/>
        <w:rPr>
          <w:rFonts w:asciiTheme="minorHAnsi" w:eastAsia="Times New Roman" w:hAnsiTheme="minorHAnsi" w:cstheme="minorHAnsi"/>
        </w:rPr>
      </w:pPr>
      <w:r w:rsidRPr="00DF1804">
        <w:rPr>
          <w:rFonts w:asciiTheme="minorHAnsi" w:eastAsia="Times New Roman" w:hAnsiTheme="minorHAnsi" w:cstheme="minorHAnsi"/>
        </w:rPr>
        <w:t xml:space="preserve">The report was developed in Power BI by connecting to the plant growth dataset, creating relevant visualizations such as bar charts, column charts, pie charts, and KPI cards, and arranging them logically on the report canvas. Consistent formatting, appropriate </w:t>
      </w:r>
      <w:proofErr w:type="spellStart"/>
      <w:r w:rsidRPr="00DF1804">
        <w:rPr>
          <w:rFonts w:asciiTheme="minorHAnsi" w:eastAsia="Times New Roman" w:hAnsiTheme="minorHAnsi" w:cstheme="minorHAnsi"/>
        </w:rPr>
        <w:t>color</w:t>
      </w:r>
      <w:proofErr w:type="spellEnd"/>
      <w:r w:rsidRPr="00DF1804">
        <w:rPr>
          <w:rFonts w:asciiTheme="minorHAnsi" w:eastAsia="Times New Roman" w:hAnsiTheme="minorHAnsi" w:cstheme="minorHAnsi"/>
        </w:rPr>
        <w:t xml:space="preserve"> themes, and interactive elements such as filters and drill-downs were applied to enhance clarity and usability. The design ensures that users can easily explore the data and interpret insights based on their specific requirements.</w:t>
      </w:r>
    </w:p>
    <w:p w14:paraId="45551E2D" w14:textId="77777777" w:rsidR="00DF1804" w:rsidRPr="00DF1804" w:rsidRDefault="00DF1804" w:rsidP="00DF1804">
      <w:pPr>
        <w:spacing w:before="100" w:beforeAutospacing="1" w:after="100" w:afterAutospacing="1" w:line="240" w:lineRule="auto"/>
        <w:ind w:left="720"/>
        <w:rPr>
          <w:rFonts w:asciiTheme="minorHAnsi" w:eastAsia="Times New Roman" w:hAnsiTheme="minorHAnsi" w:cstheme="minorHAnsi"/>
        </w:rPr>
      </w:pPr>
      <w:r w:rsidRPr="00DF1804">
        <w:rPr>
          <w:rFonts w:asciiTheme="minorHAnsi" w:eastAsia="Times New Roman" w:hAnsiTheme="minorHAnsi" w:cstheme="minorHAnsi"/>
        </w:rPr>
        <w:t>Observations derived from the Power BI report provide valuable insights into plant growth performance, environmental influences, and optimal agricultural practices.</w:t>
      </w:r>
    </w:p>
    <w:p w14:paraId="6D737079" w14:textId="77777777" w:rsidR="00DF1804" w:rsidRPr="00DF1804" w:rsidRDefault="00DF1804" w:rsidP="00DF1804">
      <w:pPr>
        <w:spacing w:before="100" w:beforeAutospacing="1" w:after="100" w:afterAutospacing="1" w:line="240" w:lineRule="auto"/>
        <w:ind w:left="720"/>
        <w:rPr>
          <w:rFonts w:asciiTheme="minorHAnsi" w:eastAsia="Times New Roman" w:hAnsiTheme="minorHAnsi" w:cstheme="minorHAnsi"/>
        </w:rPr>
      </w:pPr>
      <w:r w:rsidRPr="00DF1804">
        <w:rPr>
          <w:rFonts w:asciiTheme="minorHAnsi" w:eastAsia="Times New Roman" w:hAnsiTheme="minorHAnsi" w:cstheme="minorHAnsi"/>
        </w:rPr>
        <w:pict w14:anchorId="779A49E9">
          <v:rect id="_x0000_i1037" style="width:0;height:1.5pt" o:hralign="center" o:hrstd="t" o:hr="t" fillcolor="#a0a0a0" stroked="f"/>
        </w:pict>
      </w:r>
    </w:p>
    <w:p w14:paraId="00AEC0C8" w14:textId="77777777" w:rsidR="00DF1804" w:rsidRPr="00DF1804" w:rsidRDefault="00DF1804" w:rsidP="00DF1804">
      <w:pPr>
        <w:spacing w:before="100" w:beforeAutospacing="1" w:after="100" w:afterAutospacing="1" w:line="240" w:lineRule="auto"/>
        <w:ind w:left="720"/>
        <w:rPr>
          <w:rFonts w:asciiTheme="minorHAnsi" w:eastAsia="Times New Roman" w:hAnsiTheme="minorHAnsi" w:cstheme="minorHAnsi"/>
          <w:b/>
          <w:bCs/>
        </w:rPr>
      </w:pPr>
      <w:r w:rsidRPr="00DF1804">
        <w:rPr>
          <w:rFonts w:asciiTheme="minorHAnsi" w:eastAsia="Times New Roman" w:hAnsiTheme="minorHAnsi" w:cstheme="minorHAnsi"/>
          <w:b/>
          <w:bCs/>
        </w:rPr>
        <w:t>Observations from Power BI Reports</w:t>
      </w:r>
    </w:p>
    <w:p w14:paraId="4B265EA5" w14:textId="77777777" w:rsidR="00DF1804" w:rsidRPr="00DF1804" w:rsidRDefault="00DF1804" w:rsidP="00DF1804">
      <w:pPr>
        <w:spacing w:before="100" w:beforeAutospacing="1" w:after="100" w:afterAutospacing="1" w:line="240" w:lineRule="auto"/>
        <w:ind w:left="720"/>
        <w:rPr>
          <w:rFonts w:asciiTheme="minorHAnsi" w:eastAsia="Times New Roman" w:hAnsiTheme="minorHAnsi" w:cstheme="minorHAnsi"/>
          <w:b/>
          <w:bCs/>
        </w:rPr>
      </w:pPr>
      <w:r w:rsidRPr="00DF1804">
        <w:rPr>
          <w:rFonts w:asciiTheme="minorHAnsi" w:eastAsia="Times New Roman" w:hAnsiTheme="minorHAnsi" w:cstheme="minorHAnsi"/>
          <w:b/>
          <w:bCs/>
        </w:rPr>
        <w:t>1. Growth Trends Across Environmental Conditions</w:t>
      </w:r>
    </w:p>
    <w:p w14:paraId="1A09BD4E" w14:textId="77777777" w:rsidR="00DF1804" w:rsidRPr="00DF1804" w:rsidRDefault="00DF1804" w:rsidP="00DF1804">
      <w:pPr>
        <w:numPr>
          <w:ilvl w:val="0"/>
          <w:numId w:val="10"/>
        </w:numPr>
        <w:spacing w:before="100" w:beforeAutospacing="1" w:after="100" w:afterAutospacing="1" w:line="240" w:lineRule="auto"/>
        <w:rPr>
          <w:rFonts w:asciiTheme="minorHAnsi" w:eastAsia="Times New Roman" w:hAnsiTheme="minorHAnsi" w:cstheme="minorHAnsi"/>
        </w:rPr>
      </w:pPr>
      <w:r w:rsidRPr="00DF1804">
        <w:rPr>
          <w:rFonts w:asciiTheme="minorHAnsi" w:eastAsia="Times New Roman" w:hAnsiTheme="minorHAnsi" w:cstheme="minorHAnsi"/>
        </w:rPr>
        <w:t>Analysis of growth milestone counts across different temperature and humidity ranges shows that plants achieve higher growth milestones under moderate temperature conditions (20–30°C) and balanced humidity levels (50–70%).</w:t>
      </w:r>
    </w:p>
    <w:p w14:paraId="02B024B8" w14:textId="77777777" w:rsidR="00DF1804" w:rsidRPr="00DF1804" w:rsidRDefault="00DF1804" w:rsidP="00DF1804">
      <w:pPr>
        <w:numPr>
          <w:ilvl w:val="0"/>
          <w:numId w:val="10"/>
        </w:numPr>
        <w:spacing w:before="100" w:beforeAutospacing="1" w:after="100" w:afterAutospacing="1" w:line="240" w:lineRule="auto"/>
        <w:rPr>
          <w:rFonts w:asciiTheme="minorHAnsi" w:eastAsia="Times New Roman" w:hAnsiTheme="minorHAnsi" w:cstheme="minorHAnsi"/>
        </w:rPr>
      </w:pPr>
      <w:r w:rsidRPr="00DF1804">
        <w:rPr>
          <w:rFonts w:asciiTheme="minorHAnsi" w:eastAsia="Times New Roman" w:hAnsiTheme="minorHAnsi" w:cstheme="minorHAnsi"/>
        </w:rPr>
        <w:t>This indicates that stable environmental conditions play a crucial role in supporting consistent plant growth.</w:t>
      </w:r>
    </w:p>
    <w:p w14:paraId="3A7D4FFB" w14:textId="77777777" w:rsidR="00DF1804" w:rsidRPr="00DF1804" w:rsidRDefault="00DF1804" w:rsidP="00DF1804">
      <w:pPr>
        <w:spacing w:before="100" w:beforeAutospacing="1" w:after="100" w:afterAutospacing="1" w:line="240" w:lineRule="auto"/>
        <w:ind w:left="720"/>
        <w:rPr>
          <w:rFonts w:asciiTheme="minorHAnsi" w:eastAsia="Times New Roman" w:hAnsiTheme="minorHAnsi" w:cstheme="minorHAnsi"/>
          <w:b/>
          <w:bCs/>
        </w:rPr>
      </w:pPr>
      <w:r w:rsidRPr="00DF1804">
        <w:rPr>
          <w:rFonts w:asciiTheme="minorHAnsi" w:eastAsia="Times New Roman" w:hAnsiTheme="minorHAnsi" w:cstheme="minorHAnsi"/>
          <w:b/>
          <w:bCs/>
        </w:rPr>
        <w:t>2. Performance Comparison by Soil Type</w:t>
      </w:r>
    </w:p>
    <w:p w14:paraId="74721F4F" w14:textId="77777777" w:rsidR="00DF1804" w:rsidRPr="00DF1804" w:rsidRDefault="00DF1804" w:rsidP="00DF1804">
      <w:pPr>
        <w:numPr>
          <w:ilvl w:val="0"/>
          <w:numId w:val="11"/>
        </w:numPr>
        <w:spacing w:before="100" w:beforeAutospacing="1" w:after="100" w:afterAutospacing="1" w:line="240" w:lineRule="auto"/>
        <w:rPr>
          <w:rFonts w:asciiTheme="minorHAnsi" w:eastAsia="Times New Roman" w:hAnsiTheme="minorHAnsi" w:cstheme="minorHAnsi"/>
        </w:rPr>
      </w:pPr>
      <w:r w:rsidRPr="00DF1804">
        <w:rPr>
          <w:rFonts w:asciiTheme="minorHAnsi" w:eastAsia="Times New Roman" w:hAnsiTheme="minorHAnsi" w:cstheme="minorHAnsi"/>
        </w:rPr>
        <w:t>Comparison across soil types reveals that loam soil consistently records higher growth milestone counts compared to sandy and clay soils.</w:t>
      </w:r>
    </w:p>
    <w:p w14:paraId="59280359" w14:textId="77777777" w:rsidR="00DF1804" w:rsidRPr="00DF1804" w:rsidRDefault="00DF1804" w:rsidP="00DF1804">
      <w:pPr>
        <w:numPr>
          <w:ilvl w:val="0"/>
          <w:numId w:val="11"/>
        </w:numPr>
        <w:spacing w:before="100" w:beforeAutospacing="1" w:after="100" w:afterAutospacing="1" w:line="240" w:lineRule="auto"/>
        <w:rPr>
          <w:rFonts w:asciiTheme="minorHAnsi" w:eastAsia="Times New Roman" w:hAnsiTheme="minorHAnsi" w:cstheme="minorHAnsi"/>
        </w:rPr>
      </w:pPr>
      <w:r w:rsidRPr="00DF1804">
        <w:rPr>
          <w:rFonts w:asciiTheme="minorHAnsi" w:eastAsia="Times New Roman" w:hAnsiTheme="minorHAnsi" w:cstheme="minorHAnsi"/>
        </w:rPr>
        <w:t>This insight highlights the importance of soil quality in agricultural planning and soil selection.</w:t>
      </w:r>
    </w:p>
    <w:p w14:paraId="6F154BAA" w14:textId="77777777" w:rsidR="00DF1804" w:rsidRPr="00DF1804" w:rsidRDefault="00DF1804" w:rsidP="00DF1804">
      <w:pPr>
        <w:spacing w:before="100" w:beforeAutospacing="1" w:after="100" w:afterAutospacing="1" w:line="240" w:lineRule="auto"/>
        <w:ind w:left="720"/>
        <w:rPr>
          <w:rFonts w:asciiTheme="minorHAnsi" w:eastAsia="Times New Roman" w:hAnsiTheme="minorHAnsi" w:cstheme="minorHAnsi"/>
          <w:b/>
          <w:bCs/>
        </w:rPr>
      </w:pPr>
      <w:r w:rsidRPr="00DF1804">
        <w:rPr>
          <w:rFonts w:asciiTheme="minorHAnsi" w:eastAsia="Times New Roman" w:hAnsiTheme="minorHAnsi" w:cstheme="minorHAnsi"/>
          <w:b/>
          <w:bCs/>
        </w:rPr>
        <w:t>3. Impact of Water Frequency on Growth</w:t>
      </w:r>
    </w:p>
    <w:p w14:paraId="1F04ACE6" w14:textId="77777777" w:rsidR="00DF1804" w:rsidRPr="00DF1804" w:rsidRDefault="00DF1804" w:rsidP="00DF1804">
      <w:pPr>
        <w:numPr>
          <w:ilvl w:val="0"/>
          <w:numId w:val="12"/>
        </w:numPr>
        <w:spacing w:before="100" w:beforeAutospacing="1" w:after="100" w:afterAutospacing="1" w:line="240" w:lineRule="auto"/>
        <w:rPr>
          <w:rFonts w:asciiTheme="minorHAnsi" w:eastAsia="Times New Roman" w:hAnsiTheme="minorHAnsi" w:cstheme="minorHAnsi"/>
        </w:rPr>
      </w:pPr>
      <w:r w:rsidRPr="00DF1804">
        <w:rPr>
          <w:rFonts w:asciiTheme="minorHAnsi" w:eastAsia="Times New Roman" w:hAnsiTheme="minorHAnsi" w:cstheme="minorHAnsi"/>
        </w:rPr>
        <w:t>The report shows that daily and bi-weekly watering schedules result in better growth milestone percentages than irregular or infrequent watering.</w:t>
      </w:r>
    </w:p>
    <w:p w14:paraId="1169BC03" w14:textId="77777777" w:rsidR="00DF1804" w:rsidRPr="00DF1804" w:rsidRDefault="00DF1804" w:rsidP="00DF1804">
      <w:pPr>
        <w:numPr>
          <w:ilvl w:val="0"/>
          <w:numId w:val="12"/>
        </w:numPr>
        <w:spacing w:before="100" w:beforeAutospacing="1" w:after="100" w:afterAutospacing="1" w:line="240" w:lineRule="auto"/>
        <w:rPr>
          <w:rFonts w:asciiTheme="minorHAnsi" w:eastAsia="Times New Roman" w:hAnsiTheme="minorHAnsi" w:cstheme="minorHAnsi"/>
        </w:rPr>
      </w:pPr>
      <w:r w:rsidRPr="00DF1804">
        <w:rPr>
          <w:rFonts w:asciiTheme="minorHAnsi" w:eastAsia="Times New Roman" w:hAnsiTheme="minorHAnsi" w:cstheme="minorHAnsi"/>
        </w:rPr>
        <w:lastRenderedPageBreak/>
        <w:t>Proper irrigation management is therefore essential for maximizing plant growth outcomes.</w:t>
      </w:r>
    </w:p>
    <w:p w14:paraId="205E8B5E" w14:textId="77777777" w:rsidR="00DF1804" w:rsidRPr="00DF1804" w:rsidRDefault="00DF1804" w:rsidP="00DF1804">
      <w:pPr>
        <w:spacing w:before="100" w:beforeAutospacing="1" w:after="100" w:afterAutospacing="1" w:line="240" w:lineRule="auto"/>
        <w:ind w:left="720"/>
        <w:rPr>
          <w:rFonts w:asciiTheme="minorHAnsi" w:eastAsia="Times New Roman" w:hAnsiTheme="minorHAnsi" w:cstheme="minorHAnsi"/>
          <w:b/>
          <w:bCs/>
        </w:rPr>
      </w:pPr>
      <w:r w:rsidRPr="00DF1804">
        <w:rPr>
          <w:rFonts w:asciiTheme="minorHAnsi" w:eastAsia="Times New Roman" w:hAnsiTheme="minorHAnsi" w:cstheme="minorHAnsi"/>
          <w:b/>
          <w:bCs/>
        </w:rPr>
        <w:t>4. Fertilizer Effectiveness Analysis</w:t>
      </w:r>
    </w:p>
    <w:p w14:paraId="66156B8A" w14:textId="77777777" w:rsidR="00DF1804" w:rsidRPr="00DF1804" w:rsidRDefault="00DF1804" w:rsidP="00DF1804">
      <w:pPr>
        <w:numPr>
          <w:ilvl w:val="0"/>
          <w:numId w:val="13"/>
        </w:numPr>
        <w:spacing w:before="100" w:beforeAutospacing="1" w:after="100" w:afterAutospacing="1" w:line="240" w:lineRule="auto"/>
        <w:rPr>
          <w:rFonts w:asciiTheme="minorHAnsi" w:eastAsia="Times New Roman" w:hAnsiTheme="minorHAnsi" w:cstheme="minorHAnsi"/>
        </w:rPr>
      </w:pPr>
      <w:r w:rsidRPr="00DF1804">
        <w:rPr>
          <w:rFonts w:asciiTheme="minorHAnsi" w:eastAsia="Times New Roman" w:hAnsiTheme="minorHAnsi" w:cstheme="minorHAnsi"/>
        </w:rPr>
        <w:t>Growth milestone counts are higher for plants using organic fertilizer compared to chemical or no fertilizer options.</w:t>
      </w:r>
    </w:p>
    <w:p w14:paraId="5ECB7788" w14:textId="77777777" w:rsidR="00DF1804" w:rsidRPr="00DF1804" w:rsidRDefault="00DF1804" w:rsidP="00DF1804">
      <w:pPr>
        <w:numPr>
          <w:ilvl w:val="0"/>
          <w:numId w:val="13"/>
        </w:numPr>
        <w:spacing w:before="100" w:beforeAutospacing="1" w:after="100" w:afterAutospacing="1" w:line="240" w:lineRule="auto"/>
        <w:rPr>
          <w:rFonts w:asciiTheme="minorHAnsi" w:eastAsia="Times New Roman" w:hAnsiTheme="minorHAnsi" w:cstheme="minorHAnsi"/>
        </w:rPr>
      </w:pPr>
      <w:r w:rsidRPr="00DF1804">
        <w:rPr>
          <w:rFonts w:asciiTheme="minorHAnsi" w:eastAsia="Times New Roman" w:hAnsiTheme="minorHAnsi" w:cstheme="minorHAnsi"/>
        </w:rPr>
        <w:t>This suggests that organic fertilizers contribute positively to plant health and growth performance.</w:t>
      </w:r>
    </w:p>
    <w:p w14:paraId="3EB5738C" w14:textId="77777777" w:rsidR="00DF1804" w:rsidRPr="00DF1804" w:rsidRDefault="00DF1804" w:rsidP="00DF1804">
      <w:pPr>
        <w:spacing w:before="100" w:beforeAutospacing="1" w:after="100" w:afterAutospacing="1" w:line="240" w:lineRule="auto"/>
        <w:ind w:left="720"/>
        <w:rPr>
          <w:rFonts w:asciiTheme="minorHAnsi" w:eastAsia="Times New Roman" w:hAnsiTheme="minorHAnsi" w:cstheme="minorHAnsi"/>
          <w:b/>
          <w:bCs/>
        </w:rPr>
      </w:pPr>
      <w:r w:rsidRPr="00DF1804">
        <w:rPr>
          <w:rFonts w:asciiTheme="minorHAnsi" w:eastAsia="Times New Roman" w:hAnsiTheme="minorHAnsi" w:cstheme="minorHAnsi"/>
          <w:b/>
          <w:bCs/>
        </w:rPr>
        <w:t>5. Overall Growth Performance Summary</w:t>
      </w:r>
    </w:p>
    <w:p w14:paraId="521EA537" w14:textId="77777777" w:rsidR="00DF1804" w:rsidRPr="00DF1804" w:rsidRDefault="00DF1804" w:rsidP="00DF1804">
      <w:pPr>
        <w:numPr>
          <w:ilvl w:val="0"/>
          <w:numId w:val="14"/>
        </w:numPr>
        <w:spacing w:before="100" w:beforeAutospacing="1" w:after="100" w:afterAutospacing="1" w:line="240" w:lineRule="auto"/>
        <w:rPr>
          <w:rFonts w:asciiTheme="minorHAnsi" w:eastAsia="Times New Roman" w:hAnsiTheme="minorHAnsi" w:cstheme="minorHAnsi"/>
        </w:rPr>
      </w:pPr>
      <w:r w:rsidRPr="00DF1804">
        <w:rPr>
          <w:rFonts w:asciiTheme="minorHAnsi" w:eastAsia="Times New Roman" w:hAnsiTheme="minorHAnsi" w:cstheme="minorHAnsi"/>
        </w:rPr>
        <w:t>The total growth milestone count and average environmental indicators displayed through KPI cards provide a clear summary of overall plant growth performance.</w:t>
      </w:r>
    </w:p>
    <w:p w14:paraId="7CB50345" w14:textId="77777777" w:rsidR="00DF1804" w:rsidRPr="00DF1804" w:rsidRDefault="00DF1804" w:rsidP="00DF1804">
      <w:pPr>
        <w:numPr>
          <w:ilvl w:val="0"/>
          <w:numId w:val="14"/>
        </w:numPr>
        <w:spacing w:before="100" w:beforeAutospacing="1" w:after="100" w:afterAutospacing="1" w:line="240" w:lineRule="auto"/>
        <w:rPr>
          <w:rFonts w:asciiTheme="minorHAnsi" w:eastAsia="Times New Roman" w:hAnsiTheme="minorHAnsi" w:cstheme="minorHAnsi"/>
        </w:rPr>
      </w:pPr>
      <w:r w:rsidRPr="00DF1804">
        <w:rPr>
          <w:rFonts w:asciiTheme="minorHAnsi" w:eastAsia="Times New Roman" w:hAnsiTheme="minorHAnsi" w:cstheme="minorHAnsi"/>
        </w:rPr>
        <w:t>These metrics help stakeholders quickly assess the effectiveness of current agricultural practices.</w:t>
      </w:r>
    </w:p>
    <w:p w14:paraId="474B7B88" w14:textId="77777777" w:rsidR="00DF1804" w:rsidRPr="00DF1804" w:rsidRDefault="00DF1804" w:rsidP="00DF1804">
      <w:pPr>
        <w:spacing w:before="100" w:beforeAutospacing="1" w:after="100" w:afterAutospacing="1" w:line="240" w:lineRule="auto"/>
        <w:ind w:left="720"/>
        <w:rPr>
          <w:rFonts w:asciiTheme="minorHAnsi" w:eastAsia="Times New Roman" w:hAnsiTheme="minorHAnsi" w:cstheme="minorHAnsi"/>
        </w:rPr>
      </w:pPr>
      <w:r w:rsidRPr="00DF1804">
        <w:rPr>
          <w:rFonts w:asciiTheme="minorHAnsi" w:eastAsia="Times New Roman" w:hAnsiTheme="minorHAnsi" w:cstheme="minorHAnsi"/>
        </w:rPr>
        <w:pict w14:anchorId="751262BB">
          <v:rect id="_x0000_i1038" style="width:0;height:1.5pt" o:hralign="center" o:hrstd="t" o:hr="t" fillcolor="#a0a0a0" stroked="f"/>
        </w:pict>
      </w:r>
    </w:p>
    <w:p w14:paraId="35CEE7D9" w14:textId="77777777" w:rsidR="00DF1804" w:rsidRPr="00DF1804" w:rsidRDefault="00DF1804" w:rsidP="00DF1804">
      <w:pPr>
        <w:spacing w:before="100" w:beforeAutospacing="1" w:after="100" w:afterAutospacing="1" w:line="240" w:lineRule="auto"/>
        <w:ind w:left="720"/>
        <w:rPr>
          <w:rFonts w:asciiTheme="minorHAnsi" w:eastAsia="Times New Roman" w:hAnsiTheme="minorHAnsi" w:cstheme="minorHAnsi"/>
          <w:b/>
          <w:bCs/>
        </w:rPr>
      </w:pPr>
      <w:r w:rsidRPr="00DF1804">
        <w:rPr>
          <w:rFonts w:asciiTheme="minorHAnsi" w:eastAsia="Times New Roman" w:hAnsiTheme="minorHAnsi" w:cstheme="minorHAnsi"/>
          <w:b/>
          <w:bCs/>
        </w:rPr>
        <w:t>Key Insights from the Report</w:t>
      </w:r>
    </w:p>
    <w:p w14:paraId="5DA148B2" w14:textId="77777777" w:rsidR="00DF1804" w:rsidRPr="00DF1804" w:rsidRDefault="00DF1804" w:rsidP="00DF1804">
      <w:pPr>
        <w:numPr>
          <w:ilvl w:val="0"/>
          <w:numId w:val="15"/>
        </w:numPr>
        <w:spacing w:before="100" w:beforeAutospacing="1" w:after="100" w:afterAutospacing="1" w:line="240" w:lineRule="auto"/>
        <w:rPr>
          <w:rFonts w:asciiTheme="minorHAnsi" w:eastAsia="Times New Roman" w:hAnsiTheme="minorHAnsi" w:cstheme="minorHAnsi"/>
        </w:rPr>
      </w:pPr>
      <w:r w:rsidRPr="00DF1804">
        <w:rPr>
          <w:rFonts w:asciiTheme="minorHAnsi" w:eastAsia="Times New Roman" w:hAnsiTheme="minorHAnsi" w:cstheme="minorHAnsi"/>
          <w:b/>
          <w:bCs/>
        </w:rPr>
        <w:t>Optimal Environmental Ranges Identified</w:t>
      </w:r>
      <w:r w:rsidRPr="00DF1804">
        <w:rPr>
          <w:rFonts w:asciiTheme="minorHAnsi" w:eastAsia="Times New Roman" w:hAnsiTheme="minorHAnsi" w:cstheme="minorHAnsi"/>
        </w:rPr>
        <w:br/>
        <w:t>Plants show improved growth under moderate temperature and humidity conditions, emphasizing the need for controlled environmental management.</w:t>
      </w:r>
    </w:p>
    <w:p w14:paraId="0F6EBED7" w14:textId="77777777" w:rsidR="00DF1804" w:rsidRPr="00DF1804" w:rsidRDefault="00DF1804" w:rsidP="00DF1804">
      <w:pPr>
        <w:numPr>
          <w:ilvl w:val="0"/>
          <w:numId w:val="15"/>
        </w:numPr>
        <w:spacing w:before="100" w:beforeAutospacing="1" w:after="100" w:afterAutospacing="1" w:line="240" w:lineRule="auto"/>
        <w:rPr>
          <w:rFonts w:asciiTheme="minorHAnsi" w:eastAsia="Times New Roman" w:hAnsiTheme="minorHAnsi" w:cstheme="minorHAnsi"/>
        </w:rPr>
      </w:pPr>
      <w:r w:rsidRPr="00DF1804">
        <w:rPr>
          <w:rFonts w:asciiTheme="minorHAnsi" w:eastAsia="Times New Roman" w:hAnsiTheme="minorHAnsi" w:cstheme="minorHAnsi"/>
          <w:b/>
          <w:bCs/>
        </w:rPr>
        <w:t>Soil Type as a Critical Growth Factor</w:t>
      </w:r>
      <w:r w:rsidRPr="00DF1804">
        <w:rPr>
          <w:rFonts w:asciiTheme="minorHAnsi" w:eastAsia="Times New Roman" w:hAnsiTheme="minorHAnsi" w:cstheme="minorHAnsi"/>
        </w:rPr>
        <w:br/>
        <w:t xml:space="preserve">Loam soil emerges as the most </w:t>
      </w:r>
      <w:proofErr w:type="spellStart"/>
      <w:r w:rsidRPr="00DF1804">
        <w:rPr>
          <w:rFonts w:asciiTheme="minorHAnsi" w:eastAsia="Times New Roman" w:hAnsiTheme="minorHAnsi" w:cstheme="minorHAnsi"/>
        </w:rPr>
        <w:t>favorable</w:t>
      </w:r>
      <w:proofErr w:type="spellEnd"/>
      <w:r w:rsidRPr="00DF1804">
        <w:rPr>
          <w:rFonts w:asciiTheme="minorHAnsi" w:eastAsia="Times New Roman" w:hAnsiTheme="minorHAnsi" w:cstheme="minorHAnsi"/>
        </w:rPr>
        <w:t xml:space="preserve"> soil type for achieving higher growth milestones.</w:t>
      </w:r>
    </w:p>
    <w:p w14:paraId="269C0058" w14:textId="77777777" w:rsidR="00DF1804" w:rsidRPr="00DF1804" w:rsidRDefault="00DF1804" w:rsidP="00DF1804">
      <w:pPr>
        <w:numPr>
          <w:ilvl w:val="0"/>
          <w:numId w:val="15"/>
        </w:numPr>
        <w:spacing w:before="100" w:beforeAutospacing="1" w:after="100" w:afterAutospacing="1" w:line="240" w:lineRule="auto"/>
        <w:rPr>
          <w:rFonts w:asciiTheme="minorHAnsi" w:eastAsia="Times New Roman" w:hAnsiTheme="minorHAnsi" w:cstheme="minorHAnsi"/>
        </w:rPr>
      </w:pPr>
      <w:r w:rsidRPr="00DF1804">
        <w:rPr>
          <w:rFonts w:asciiTheme="minorHAnsi" w:eastAsia="Times New Roman" w:hAnsiTheme="minorHAnsi" w:cstheme="minorHAnsi"/>
          <w:b/>
          <w:bCs/>
        </w:rPr>
        <w:t>Importance of Consistent Watering</w:t>
      </w:r>
      <w:r w:rsidRPr="00DF1804">
        <w:rPr>
          <w:rFonts w:asciiTheme="minorHAnsi" w:eastAsia="Times New Roman" w:hAnsiTheme="minorHAnsi" w:cstheme="minorHAnsi"/>
        </w:rPr>
        <w:br/>
        <w:t>Regular and well-planned watering schedules significantly improve plant growth success rates.</w:t>
      </w:r>
    </w:p>
    <w:p w14:paraId="49C5F953" w14:textId="77777777" w:rsidR="00DF1804" w:rsidRPr="00DF1804" w:rsidRDefault="00DF1804" w:rsidP="00DF1804">
      <w:pPr>
        <w:numPr>
          <w:ilvl w:val="0"/>
          <w:numId w:val="15"/>
        </w:numPr>
        <w:spacing w:before="100" w:beforeAutospacing="1" w:after="100" w:afterAutospacing="1" w:line="240" w:lineRule="auto"/>
        <w:rPr>
          <w:rFonts w:asciiTheme="minorHAnsi" w:eastAsia="Times New Roman" w:hAnsiTheme="minorHAnsi" w:cstheme="minorHAnsi"/>
        </w:rPr>
      </w:pPr>
      <w:r w:rsidRPr="00DF1804">
        <w:rPr>
          <w:rFonts w:asciiTheme="minorHAnsi" w:eastAsia="Times New Roman" w:hAnsiTheme="minorHAnsi" w:cstheme="minorHAnsi"/>
          <w:b/>
          <w:bCs/>
        </w:rPr>
        <w:t>Organic Farming Benefits</w:t>
      </w:r>
      <w:r w:rsidRPr="00DF1804">
        <w:rPr>
          <w:rFonts w:asciiTheme="minorHAnsi" w:eastAsia="Times New Roman" w:hAnsiTheme="minorHAnsi" w:cstheme="minorHAnsi"/>
        </w:rPr>
        <w:br/>
        <w:t>The use of organic fertilizers positively impacts growth milestones, supporting sustainable farming practices.</w:t>
      </w:r>
    </w:p>
    <w:p w14:paraId="4AFAB853" w14:textId="77777777" w:rsidR="00DF1804" w:rsidRPr="00DF1804" w:rsidRDefault="00DF1804" w:rsidP="00DF1804">
      <w:pPr>
        <w:numPr>
          <w:ilvl w:val="0"/>
          <w:numId w:val="15"/>
        </w:numPr>
        <w:spacing w:before="100" w:beforeAutospacing="1" w:after="100" w:afterAutospacing="1" w:line="240" w:lineRule="auto"/>
        <w:rPr>
          <w:rFonts w:asciiTheme="minorHAnsi" w:eastAsia="Times New Roman" w:hAnsiTheme="minorHAnsi" w:cstheme="minorHAnsi"/>
        </w:rPr>
      </w:pPr>
      <w:r w:rsidRPr="00DF1804">
        <w:rPr>
          <w:rFonts w:asciiTheme="minorHAnsi" w:eastAsia="Times New Roman" w:hAnsiTheme="minorHAnsi" w:cstheme="minorHAnsi"/>
          <w:b/>
          <w:bCs/>
        </w:rPr>
        <w:t>Data-Driven Decision Support</w:t>
      </w:r>
      <w:r w:rsidRPr="00DF1804">
        <w:rPr>
          <w:rFonts w:asciiTheme="minorHAnsi" w:eastAsia="Times New Roman" w:hAnsiTheme="minorHAnsi" w:cstheme="minorHAnsi"/>
        </w:rPr>
        <w:br/>
        <w:t>The Power BI report enables users to make informed decisions by visually exploring relationships between environmental factors and plant growth outcomes.</w:t>
      </w:r>
    </w:p>
    <w:p w14:paraId="422222D0" w14:textId="77777777" w:rsidR="00AF7735" w:rsidRPr="00AF7735" w:rsidRDefault="00AF7735" w:rsidP="00AF7735">
      <w:pPr>
        <w:spacing w:before="100" w:beforeAutospacing="1" w:after="100" w:afterAutospacing="1" w:line="240" w:lineRule="auto"/>
        <w:ind w:left="720"/>
        <w:rPr>
          <w:rFonts w:ascii="Times New Roman" w:eastAsia="Times New Roman" w:hAnsi="Times New Roman" w:cs="Times New Roman"/>
          <w:sz w:val="24"/>
          <w:szCs w:val="24"/>
        </w:rPr>
      </w:pPr>
    </w:p>
    <w:p w14:paraId="6C6FE64E" w14:textId="77777777" w:rsidR="00AF7735" w:rsidRPr="00A20696" w:rsidRDefault="00AF7735" w:rsidP="00AF7735">
      <w:pPr>
        <w:spacing w:before="100" w:beforeAutospacing="1" w:after="100" w:afterAutospacing="1" w:line="240" w:lineRule="auto"/>
        <w:rPr>
          <w:rFonts w:ascii="Times New Roman" w:eastAsia="Times New Roman" w:hAnsi="Times New Roman" w:cs="Times New Roman"/>
          <w:sz w:val="24"/>
          <w:szCs w:val="24"/>
        </w:rPr>
      </w:pPr>
    </w:p>
    <w:p w14:paraId="532012DC" w14:textId="77777777" w:rsidR="00A20696" w:rsidRPr="00A20696" w:rsidRDefault="00A20696" w:rsidP="00AF7735">
      <w:pPr>
        <w:pBdr>
          <w:top w:val="nil"/>
          <w:left w:val="nil"/>
          <w:bottom w:val="nil"/>
          <w:right w:val="nil"/>
          <w:between w:val="nil"/>
        </w:pBdr>
        <w:spacing w:after="200" w:line="240" w:lineRule="auto"/>
        <w:ind w:left="720"/>
        <w:rPr>
          <w:rFonts w:ascii="Arial" w:eastAsia="Arial" w:hAnsi="Arial" w:cs="Arial"/>
          <w:color w:val="000000"/>
          <w:sz w:val="20"/>
          <w:szCs w:val="20"/>
        </w:rPr>
      </w:pPr>
    </w:p>
    <w:p w14:paraId="419C090A" w14:textId="77777777" w:rsidR="00A20696" w:rsidRDefault="00A20696">
      <w:pPr>
        <w:pBdr>
          <w:top w:val="nil"/>
          <w:left w:val="nil"/>
          <w:bottom w:val="nil"/>
          <w:right w:val="nil"/>
          <w:between w:val="nil"/>
        </w:pBdr>
        <w:spacing w:after="200" w:line="240" w:lineRule="auto"/>
        <w:rPr>
          <w:rFonts w:ascii="Arial" w:eastAsia="Arial" w:hAnsi="Arial" w:cs="Arial"/>
          <w:color w:val="000000"/>
          <w:sz w:val="20"/>
          <w:szCs w:val="20"/>
        </w:rPr>
      </w:pPr>
    </w:p>
    <w:p w14:paraId="45855261" w14:textId="77777777" w:rsidR="00720545" w:rsidRDefault="00000000">
      <w:r>
        <w:t xml:space="preserve"> </w:t>
      </w:r>
    </w:p>
    <w:sectPr w:rsidR="00720545">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D0C11"/>
    <w:multiLevelType w:val="hybridMultilevel"/>
    <w:tmpl w:val="602AC966"/>
    <w:lvl w:ilvl="0" w:tplc="BAFC090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9C5A2A"/>
    <w:multiLevelType w:val="multilevel"/>
    <w:tmpl w:val="753E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B1DE4"/>
    <w:multiLevelType w:val="multilevel"/>
    <w:tmpl w:val="EB4C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A03C1"/>
    <w:multiLevelType w:val="multilevel"/>
    <w:tmpl w:val="49D6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C0348"/>
    <w:multiLevelType w:val="multilevel"/>
    <w:tmpl w:val="1B585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277149"/>
    <w:multiLevelType w:val="multilevel"/>
    <w:tmpl w:val="BA38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00627A"/>
    <w:multiLevelType w:val="multilevel"/>
    <w:tmpl w:val="8170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C65402"/>
    <w:multiLevelType w:val="multilevel"/>
    <w:tmpl w:val="412C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791867"/>
    <w:multiLevelType w:val="multilevel"/>
    <w:tmpl w:val="D69C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A865F1"/>
    <w:multiLevelType w:val="multilevel"/>
    <w:tmpl w:val="522C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AD1F83"/>
    <w:multiLevelType w:val="multilevel"/>
    <w:tmpl w:val="523A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775AC7"/>
    <w:multiLevelType w:val="multilevel"/>
    <w:tmpl w:val="8AD0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BC5BB9"/>
    <w:multiLevelType w:val="multilevel"/>
    <w:tmpl w:val="429E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BF79E6"/>
    <w:multiLevelType w:val="multilevel"/>
    <w:tmpl w:val="6FA8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FA07F9"/>
    <w:multiLevelType w:val="multilevel"/>
    <w:tmpl w:val="FDDE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2568502">
    <w:abstractNumId w:val="13"/>
  </w:num>
  <w:num w:numId="2" w16cid:durableId="1645432796">
    <w:abstractNumId w:val="11"/>
  </w:num>
  <w:num w:numId="3" w16cid:durableId="275448970">
    <w:abstractNumId w:val="5"/>
  </w:num>
  <w:num w:numId="4" w16cid:durableId="1463424373">
    <w:abstractNumId w:val="2"/>
  </w:num>
  <w:num w:numId="5" w16cid:durableId="1771975069">
    <w:abstractNumId w:val="6"/>
  </w:num>
  <w:num w:numId="6" w16cid:durableId="542443052">
    <w:abstractNumId w:val="3"/>
  </w:num>
  <w:num w:numId="7" w16cid:durableId="1289777035">
    <w:abstractNumId w:val="12"/>
  </w:num>
  <w:num w:numId="8" w16cid:durableId="674189717">
    <w:abstractNumId w:val="14"/>
  </w:num>
  <w:num w:numId="9" w16cid:durableId="1101997984">
    <w:abstractNumId w:val="0"/>
  </w:num>
  <w:num w:numId="10" w16cid:durableId="1549954871">
    <w:abstractNumId w:val="8"/>
  </w:num>
  <w:num w:numId="11" w16cid:durableId="1508715583">
    <w:abstractNumId w:val="10"/>
  </w:num>
  <w:num w:numId="12" w16cid:durableId="291595734">
    <w:abstractNumId w:val="7"/>
  </w:num>
  <w:num w:numId="13" w16cid:durableId="1284993056">
    <w:abstractNumId w:val="1"/>
  </w:num>
  <w:num w:numId="14" w16cid:durableId="844519116">
    <w:abstractNumId w:val="9"/>
  </w:num>
  <w:num w:numId="15" w16cid:durableId="8922351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545"/>
    <w:rsid w:val="000F655B"/>
    <w:rsid w:val="00642171"/>
    <w:rsid w:val="00720545"/>
    <w:rsid w:val="00A136B3"/>
    <w:rsid w:val="00A20696"/>
    <w:rsid w:val="00AF7735"/>
    <w:rsid w:val="00D043A9"/>
    <w:rsid w:val="00DF18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881C7"/>
  <w15:docId w15:val="{2E7B4615-B819-423E-B84E-0116EE79E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31775">
      <w:bodyDiv w:val="1"/>
      <w:marLeft w:val="0"/>
      <w:marRight w:val="0"/>
      <w:marTop w:val="0"/>
      <w:marBottom w:val="0"/>
      <w:divBdr>
        <w:top w:val="none" w:sz="0" w:space="0" w:color="auto"/>
        <w:left w:val="none" w:sz="0" w:space="0" w:color="auto"/>
        <w:bottom w:val="none" w:sz="0" w:space="0" w:color="auto"/>
        <w:right w:val="none" w:sz="0" w:space="0" w:color="auto"/>
      </w:divBdr>
    </w:div>
    <w:div w:id="112866722">
      <w:bodyDiv w:val="1"/>
      <w:marLeft w:val="0"/>
      <w:marRight w:val="0"/>
      <w:marTop w:val="0"/>
      <w:marBottom w:val="0"/>
      <w:divBdr>
        <w:top w:val="none" w:sz="0" w:space="0" w:color="auto"/>
        <w:left w:val="none" w:sz="0" w:space="0" w:color="auto"/>
        <w:bottom w:val="none" w:sz="0" w:space="0" w:color="auto"/>
        <w:right w:val="none" w:sz="0" w:space="0" w:color="auto"/>
      </w:divBdr>
    </w:div>
    <w:div w:id="141044521">
      <w:bodyDiv w:val="1"/>
      <w:marLeft w:val="0"/>
      <w:marRight w:val="0"/>
      <w:marTop w:val="0"/>
      <w:marBottom w:val="0"/>
      <w:divBdr>
        <w:top w:val="none" w:sz="0" w:space="0" w:color="auto"/>
        <w:left w:val="none" w:sz="0" w:space="0" w:color="auto"/>
        <w:bottom w:val="none" w:sz="0" w:space="0" w:color="auto"/>
        <w:right w:val="none" w:sz="0" w:space="0" w:color="auto"/>
      </w:divBdr>
    </w:div>
    <w:div w:id="143741169">
      <w:bodyDiv w:val="1"/>
      <w:marLeft w:val="0"/>
      <w:marRight w:val="0"/>
      <w:marTop w:val="0"/>
      <w:marBottom w:val="0"/>
      <w:divBdr>
        <w:top w:val="none" w:sz="0" w:space="0" w:color="auto"/>
        <w:left w:val="none" w:sz="0" w:space="0" w:color="auto"/>
        <w:bottom w:val="none" w:sz="0" w:space="0" w:color="auto"/>
        <w:right w:val="none" w:sz="0" w:space="0" w:color="auto"/>
      </w:divBdr>
    </w:div>
    <w:div w:id="287318182">
      <w:bodyDiv w:val="1"/>
      <w:marLeft w:val="0"/>
      <w:marRight w:val="0"/>
      <w:marTop w:val="0"/>
      <w:marBottom w:val="0"/>
      <w:divBdr>
        <w:top w:val="none" w:sz="0" w:space="0" w:color="auto"/>
        <w:left w:val="none" w:sz="0" w:space="0" w:color="auto"/>
        <w:bottom w:val="none" w:sz="0" w:space="0" w:color="auto"/>
        <w:right w:val="none" w:sz="0" w:space="0" w:color="auto"/>
      </w:divBdr>
    </w:div>
    <w:div w:id="381370440">
      <w:bodyDiv w:val="1"/>
      <w:marLeft w:val="0"/>
      <w:marRight w:val="0"/>
      <w:marTop w:val="0"/>
      <w:marBottom w:val="0"/>
      <w:divBdr>
        <w:top w:val="none" w:sz="0" w:space="0" w:color="auto"/>
        <w:left w:val="none" w:sz="0" w:space="0" w:color="auto"/>
        <w:bottom w:val="none" w:sz="0" w:space="0" w:color="auto"/>
        <w:right w:val="none" w:sz="0" w:space="0" w:color="auto"/>
      </w:divBdr>
    </w:div>
    <w:div w:id="381684127">
      <w:bodyDiv w:val="1"/>
      <w:marLeft w:val="0"/>
      <w:marRight w:val="0"/>
      <w:marTop w:val="0"/>
      <w:marBottom w:val="0"/>
      <w:divBdr>
        <w:top w:val="none" w:sz="0" w:space="0" w:color="auto"/>
        <w:left w:val="none" w:sz="0" w:space="0" w:color="auto"/>
        <w:bottom w:val="none" w:sz="0" w:space="0" w:color="auto"/>
        <w:right w:val="none" w:sz="0" w:space="0" w:color="auto"/>
      </w:divBdr>
    </w:div>
    <w:div w:id="1000738045">
      <w:bodyDiv w:val="1"/>
      <w:marLeft w:val="0"/>
      <w:marRight w:val="0"/>
      <w:marTop w:val="0"/>
      <w:marBottom w:val="0"/>
      <w:divBdr>
        <w:top w:val="none" w:sz="0" w:space="0" w:color="auto"/>
        <w:left w:val="none" w:sz="0" w:space="0" w:color="auto"/>
        <w:bottom w:val="none" w:sz="0" w:space="0" w:color="auto"/>
        <w:right w:val="none" w:sz="0" w:space="0" w:color="auto"/>
      </w:divBdr>
    </w:div>
    <w:div w:id="1159808390">
      <w:bodyDiv w:val="1"/>
      <w:marLeft w:val="0"/>
      <w:marRight w:val="0"/>
      <w:marTop w:val="0"/>
      <w:marBottom w:val="0"/>
      <w:divBdr>
        <w:top w:val="none" w:sz="0" w:space="0" w:color="auto"/>
        <w:left w:val="none" w:sz="0" w:space="0" w:color="auto"/>
        <w:bottom w:val="none" w:sz="0" w:space="0" w:color="auto"/>
        <w:right w:val="none" w:sz="0" w:space="0" w:color="auto"/>
      </w:divBdr>
    </w:div>
    <w:div w:id="1165826404">
      <w:bodyDiv w:val="1"/>
      <w:marLeft w:val="0"/>
      <w:marRight w:val="0"/>
      <w:marTop w:val="0"/>
      <w:marBottom w:val="0"/>
      <w:divBdr>
        <w:top w:val="none" w:sz="0" w:space="0" w:color="auto"/>
        <w:left w:val="none" w:sz="0" w:space="0" w:color="auto"/>
        <w:bottom w:val="none" w:sz="0" w:space="0" w:color="auto"/>
        <w:right w:val="none" w:sz="0" w:space="0" w:color="auto"/>
      </w:divBdr>
    </w:div>
    <w:div w:id="1345673870">
      <w:bodyDiv w:val="1"/>
      <w:marLeft w:val="0"/>
      <w:marRight w:val="0"/>
      <w:marTop w:val="0"/>
      <w:marBottom w:val="0"/>
      <w:divBdr>
        <w:top w:val="none" w:sz="0" w:space="0" w:color="auto"/>
        <w:left w:val="none" w:sz="0" w:space="0" w:color="auto"/>
        <w:bottom w:val="none" w:sz="0" w:space="0" w:color="auto"/>
        <w:right w:val="none" w:sz="0" w:space="0" w:color="auto"/>
      </w:divBdr>
    </w:div>
    <w:div w:id="1455296991">
      <w:bodyDiv w:val="1"/>
      <w:marLeft w:val="0"/>
      <w:marRight w:val="0"/>
      <w:marTop w:val="0"/>
      <w:marBottom w:val="0"/>
      <w:divBdr>
        <w:top w:val="none" w:sz="0" w:space="0" w:color="auto"/>
        <w:left w:val="none" w:sz="0" w:space="0" w:color="auto"/>
        <w:bottom w:val="none" w:sz="0" w:space="0" w:color="auto"/>
        <w:right w:val="none" w:sz="0" w:space="0" w:color="auto"/>
      </w:divBdr>
    </w:div>
    <w:div w:id="1647273388">
      <w:bodyDiv w:val="1"/>
      <w:marLeft w:val="0"/>
      <w:marRight w:val="0"/>
      <w:marTop w:val="0"/>
      <w:marBottom w:val="0"/>
      <w:divBdr>
        <w:top w:val="none" w:sz="0" w:space="0" w:color="auto"/>
        <w:left w:val="none" w:sz="0" w:space="0" w:color="auto"/>
        <w:bottom w:val="none" w:sz="0" w:space="0" w:color="auto"/>
        <w:right w:val="none" w:sz="0" w:space="0" w:color="auto"/>
      </w:divBdr>
    </w:div>
    <w:div w:id="1866865089">
      <w:bodyDiv w:val="1"/>
      <w:marLeft w:val="0"/>
      <w:marRight w:val="0"/>
      <w:marTop w:val="0"/>
      <w:marBottom w:val="0"/>
      <w:divBdr>
        <w:top w:val="none" w:sz="0" w:space="0" w:color="auto"/>
        <w:left w:val="none" w:sz="0" w:space="0" w:color="auto"/>
        <w:bottom w:val="none" w:sz="0" w:space="0" w:color="auto"/>
        <w:right w:val="none" w:sz="0" w:space="0" w:color="auto"/>
      </w:divBdr>
    </w:div>
    <w:div w:id="20238212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mzENzSK+DYbDTtIJ60h9xwbcnw==">CgMxLjA4AHIhMVdSNElNS1BzRi1LdVRvbU94ZWRVWFh1U0pHdEFEMkFi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Pages>
  <Words>536</Words>
  <Characters>3056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rohitgupta2502@outlook.com</cp:lastModifiedBy>
  <cp:revision>4</cp:revision>
  <dcterms:created xsi:type="dcterms:W3CDTF">2024-01-13T08:53:00Z</dcterms:created>
  <dcterms:modified xsi:type="dcterms:W3CDTF">2025-12-24T09:21:00Z</dcterms:modified>
</cp:coreProperties>
</file>