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r>
        <w:rPr>
          <w:rFonts w:ascii="Arial" w:hAnsi="Arial" w:eastAsia="微软雅黑"/>
          <w:b/>
          <w:color w:val="17365D"/>
          <w:sz w:val="28"/>
        </w:rPr>
        <w:t>课程作业一</w:t>
      </w:r>
    </w:p>
    <w:p>
      <w:pPr>
        <w:pStyle w:val="Title"/>
        <w:spacing w:after="360"/>
        <w:jc w:val="center"/>
      </w:pPr>
      <w:r>
        <w:rPr>
          <w:rFonts w:ascii="Arial" w:hAnsi="Arial" w:eastAsia="微软雅黑"/>
          <w:b/>
          <w:color w:val="000000"/>
          <w:sz w:val="48"/>
        </w:rPr>
        <w:t>南通大学教室节能监控方案设计报告</w:t>
      </w:r>
    </w:p>
    <w:p>
      <w:pPr>
        <w:spacing w:after="1600"/>
        <w:jc w:val="center"/>
      </w:pPr>
      <w:r>
        <w:rPr>
          <w:rFonts w:ascii="Arial" w:hAnsi="Arial" w:eastAsia="宋体"/>
          <w:color w:val="5C6773"/>
          <w:sz w:val="26"/>
        </w:rPr>
        <w:t>面向管理 自动化和信息化的一体化设计</w:t>
      </w:r>
    </w:p>
    <w:tbl>
      <w:tblPr>
        <w:tblW w:type="auto" w:w="0"/>
        <w:jc w:val="center"/>
        <w:tblLayout w:type="fixed"/>
        <w:tblLook w:firstColumn="1" w:firstRow="1" w:lastColumn="0" w:lastRow="0" w:noHBand="0" w:noVBand="1" w:val="04A0"/>
      </w:tblPr>
      <w:tblGrid>
        <w:gridCol w:w="4958"/>
        <w:gridCol w:w="4958"/>
      </w:tblGrid>
      <w:tr>
        <w:tc>
          <w:tcPr>
            <w:tcW w:type="dxa" w:w="1700"/>
            <w:tcMar>
              <w:top w:w="120" w:type="dxa"/>
              <w:start w:w="100" w:type="dxa"/>
              <w:bottom w:w="120" w:type="dxa"/>
              <w:end w:w="100" w:type="dxa"/>
            </w:tcMar>
            <w:vAlign w:val="center"/>
            <w:tcBorders>
              <w:top w:val="nil"/>
              <w:left w:val="nil"/>
              <w:bottom w:val="nil"/>
              <w:right w:val="nil"/>
              <w:insideH w:val="nil"/>
              <w:insideV w:val="nil"/>
            </w:tcBorders>
          </w:tcPr>
          <w:p>
            <w:pPr>
              <w:jc w:val="right"/>
            </w:pPr>
            <w:r/>
            <w:r>
              <w:rPr>
                <w:rFonts w:ascii="Arial" w:hAnsi="Arial" w:eastAsia="微软雅黑"/>
                <w:b/>
                <w:color w:val="222222"/>
                <w:sz w:val="22"/>
              </w:rPr>
              <w:t>课程名称</w:t>
            </w:r>
          </w:p>
        </w:tc>
        <w:tc>
          <w:tcPr>
            <w:tcW w:type="dxa" w:w="4535"/>
            <w:tcMar>
              <w:top w:w="120" w:type="dxa"/>
              <w:start w:w="100" w:type="dxa"/>
              <w:bottom w:w="120" w:type="dxa"/>
              <w:end w:w="100" w:type="dxa"/>
            </w:tcMar>
            <w:vAlign w:val="center"/>
            <w:tcBorders>
              <w:top w:val="nil"/>
              <w:left w:val="nil"/>
              <w:bottom w:val="nil"/>
              <w:right w:val="nil"/>
              <w:insideH w:val="nil"/>
              <w:insideV w:val="nil"/>
            </w:tcBorders>
          </w:tcPr>
          <w:p>
            <w:r/>
            <w:r>
              <w:rPr>
                <w:rFonts w:ascii="Arial" w:hAnsi="Arial" w:eastAsia="宋体"/>
                <w:color w:val="5C6773"/>
                <w:sz w:val="22"/>
              </w:rPr>
              <w:t>____________________________</w:t>
            </w:r>
          </w:p>
        </w:tc>
      </w:tr>
      <w:tr>
        <w:tc>
          <w:tcPr>
            <w:tcW w:type="dxa" w:w="1700"/>
            <w:tcMar>
              <w:top w:w="120" w:type="dxa"/>
              <w:start w:w="100" w:type="dxa"/>
              <w:bottom w:w="120" w:type="dxa"/>
              <w:end w:w="100" w:type="dxa"/>
            </w:tcMar>
            <w:vAlign w:val="center"/>
            <w:tcBorders>
              <w:top w:val="nil"/>
              <w:left w:val="nil"/>
              <w:bottom w:val="nil"/>
              <w:right w:val="nil"/>
              <w:insideH w:val="nil"/>
              <w:insideV w:val="nil"/>
            </w:tcBorders>
          </w:tcPr>
          <w:p>
            <w:pPr>
              <w:jc w:val="right"/>
            </w:pPr>
            <w:r/>
            <w:r>
              <w:rPr>
                <w:rFonts w:ascii="Arial" w:hAnsi="Arial" w:eastAsia="微软雅黑"/>
                <w:b/>
                <w:color w:val="222222"/>
                <w:sz w:val="22"/>
              </w:rPr>
              <w:t>学院专业</w:t>
            </w:r>
          </w:p>
        </w:tc>
        <w:tc>
          <w:tcPr>
            <w:tcW w:type="dxa" w:w="4535"/>
            <w:tcMar>
              <w:top w:w="120" w:type="dxa"/>
              <w:start w:w="100" w:type="dxa"/>
              <w:bottom w:w="120" w:type="dxa"/>
              <w:end w:w="100" w:type="dxa"/>
            </w:tcMar>
            <w:vAlign w:val="center"/>
            <w:tcBorders>
              <w:top w:val="nil"/>
              <w:left w:val="nil"/>
              <w:bottom w:val="nil"/>
              <w:right w:val="nil"/>
              <w:insideH w:val="nil"/>
              <w:insideV w:val="nil"/>
            </w:tcBorders>
          </w:tcPr>
          <w:p>
            <w:r/>
            <w:r>
              <w:rPr>
                <w:rFonts w:ascii="Arial" w:hAnsi="Arial" w:eastAsia="宋体"/>
                <w:color w:val="5C6773"/>
                <w:sz w:val="22"/>
              </w:rPr>
              <w:t>____________________________</w:t>
            </w:r>
          </w:p>
        </w:tc>
      </w:tr>
      <w:tr>
        <w:tc>
          <w:tcPr>
            <w:tcW w:type="dxa" w:w="1700"/>
            <w:tcMar>
              <w:top w:w="120" w:type="dxa"/>
              <w:start w:w="100" w:type="dxa"/>
              <w:bottom w:w="120" w:type="dxa"/>
              <w:end w:w="100" w:type="dxa"/>
            </w:tcMar>
            <w:vAlign w:val="center"/>
            <w:tcBorders>
              <w:top w:val="nil"/>
              <w:left w:val="nil"/>
              <w:bottom w:val="nil"/>
              <w:right w:val="nil"/>
              <w:insideH w:val="nil"/>
              <w:insideV w:val="nil"/>
            </w:tcBorders>
          </w:tcPr>
          <w:p>
            <w:pPr>
              <w:jc w:val="right"/>
            </w:pPr>
            <w:r/>
            <w:r>
              <w:rPr>
                <w:rFonts w:ascii="Arial" w:hAnsi="Arial" w:eastAsia="微软雅黑"/>
                <w:b/>
                <w:color w:val="222222"/>
                <w:sz w:val="22"/>
              </w:rPr>
              <w:t>学生姓名</w:t>
            </w:r>
          </w:p>
        </w:tc>
        <w:tc>
          <w:tcPr>
            <w:tcW w:type="dxa" w:w="4535"/>
            <w:tcMar>
              <w:top w:w="120" w:type="dxa"/>
              <w:start w:w="100" w:type="dxa"/>
              <w:bottom w:w="120" w:type="dxa"/>
              <w:end w:w="100" w:type="dxa"/>
            </w:tcMar>
            <w:vAlign w:val="center"/>
            <w:tcBorders>
              <w:top w:val="nil"/>
              <w:left w:val="nil"/>
              <w:bottom w:val="nil"/>
              <w:right w:val="nil"/>
              <w:insideH w:val="nil"/>
              <w:insideV w:val="nil"/>
            </w:tcBorders>
          </w:tcPr>
          <w:p>
            <w:r/>
            <w:r>
              <w:rPr>
                <w:rFonts w:ascii="Arial" w:hAnsi="Arial" w:eastAsia="宋体"/>
                <w:color w:val="5C6773"/>
                <w:sz w:val="22"/>
              </w:rPr>
              <w:t>____________________________</w:t>
            </w:r>
          </w:p>
        </w:tc>
      </w:tr>
      <w:tr>
        <w:tc>
          <w:tcPr>
            <w:tcW w:type="dxa" w:w="1700"/>
            <w:tcMar>
              <w:top w:w="120" w:type="dxa"/>
              <w:start w:w="100" w:type="dxa"/>
              <w:bottom w:w="120" w:type="dxa"/>
              <w:end w:w="100" w:type="dxa"/>
            </w:tcMar>
            <w:vAlign w:val="center"/>
            <w:tcBorders>
              <w:top w:val="nil"/>
              <w:left w:val="nil"/>
              <w:bottom w:val="nil"/>
              <w:right w:val="nil"/>
              <w:insideH w:val="nil"/>
              <w:insideV w:val="nil"/>
            </w:tcBorders>
          </w:tcPr>
          <w:p>
            <w:pPr>
              <w:jc w:val="right"/>
            </w:pPr>
            <w:r/>
            <w:r>
              <w:rPr>
                <w:rFonts w:ascii="Arial" w:hAnsi="Arial" w:eastAsia="微软雅黑"/>
                <w:b/>
                <w:color w:val="222222"/>
                <w:sz w:val="22"/>
              </w:rPr>
              <w:t>学号</w:t>
            </w:r>
          </w:p>
        </w:tc>
        <w:tc>
          <w:tcPr>
            <w:tcW w:type="dxa" w:w="4535"/>
            <w:tcMar>
              <w:top w:w="120" w:type="dxa"/>
              <w:start w:w="100" w:type="dxa"/>
              <w:bottom w:w="120" w:type="dxa"/>
              <w:end w:w="100" w:type="dxa"/>
            </w:tcMar>
            <w:vAlign w:val="center"/>
            <w:tcBorders>
              <w:top w:val="nil"/>
              <w:left w:val="nil"/>
              <w:bottom w:val="nil"/>
              <w:right w:val="nil"/>
              <w:insideH w:val="nil"/>
              <w:insideV w:val="nil"/>
            </w:tcBorders>
          </w:tcPr>
          <w:p>
            <w:r/>
            <w:r>
              <w:rPr>
                <w:rFonts w:ascii="Arial" w:hAnsi="Arial" w:eastAsia="宋体"/>
                <w:color w:val="5C6773"/>
                <w:sz w:val="22"/>
              </w:rPr>
              <w:t>____________________________</w:t>
            </w:r>
          </w:p>
        </w:tc>
      </w:tr>
      <w:tr>
        <w:tc>
          <w:tcPr>
            <w:tcW w:type="dxa" w:w="1700"/>
            <w:tcMar>
              <w:top w:w="120" w:type="dxa"/>
              <w:start w:w="100" w:type="dxa"/>
              <w:bottom w:w="120" w:type="dxa"/>
              <w:end w:w="100" w:type="dxa"/>
            </w:tcMar>
            <w:vAlign w:val="center"/>
            <w:tcBorders>
              <w:top w:val="nil"/>
              <w:left w:val="nil"/>
              <w:bottom w:val="nil"/>
              <w:right w:val="nil"/>
              <w:insideH w:val="nil"/>
              <w:insideV w:val="nil"/>
            </w:tcBorders>
          </w:tcPr>
          <w:p>
            <w:pPr>
              <w:jc w:val="right"/>
            </w:pPr>
            <w:r/>
            <w:r>
              <w:rPr>
                <w:rFonts w:ascii="Arial" w:hAnsi="Arial" w:eastAsia="微软雅黑"/>
                <w:b/>
                <w:color w:val="222222"/>
                <w:sz w:val="22"/>
              </w:rPr>
              <w:t>指导教师</w:t>
            </w:r>
          </w:p>
        </w:tc>
        <w:tc>
          <w:tcPr>
            <w:tcW w:type="dxa" w:w="4535"/>
            <w:tcMar>
              <w:top w:w="120" w:type="dxa"/>
              <w:start w:w="100" w:type="dxa"/>
              <w:bottom w:w="120" w:type="dxa"/>
              <w:end w:w="100" w:type="dxa"/>
            </w:tcMar>
            <w:vAlign w:val="center"/>
            <w:tcBorders>
              <w:top w:val="nil"/>
              <w:left w:val="nil"/>
              <w:bottom w:val="nil"/>
              <w:right w:val="nil"/>
              <w:insideH w:val="nil"/>
              <w:insideV w:val="nil"/>
            </w:tcBorders>
          </w:tcPr>
          <w:p>
            <w:r/>
            <w:r>
              <w:rPr>
                <w:rFonts w:ascii="Arial" w:hAnsi="Arial" w:eastAsia="宋体"/>
                <w:color w:val="5C6773"/>
                <w:sz w:val="22"/>
              </w:rPr>
              <w:t>____________________________</w:t>
            </w:r>
          </w:p>
        </w:tc>
      </w:tr>
    </w:tbl>
    <w:p>
      <w:pPr>
        <w:spacing w:before="1900"/>
        <w:jc w:val="center"/>
      </w:pPr>
      <w:r>
        <w:rPr>
          <w:rFonts w:ascii="Arial" w:hAnsi="Arial" w:eastAsia="宋体"/>
          <w:color w:val="222222"/>
          <w:sz w:val="22"/>
        </w:rPr>
        <w:t>二〇二六年十月</w:t>
      </w:r>
    </w:p>
    <w:p>
      <w:r>
        <w:br w:type="page"/>
      </w:r>
    </w:p>
    <w:p>
      <w:pPr>
        <w:pStyle w:val="Heading1"/>
        <w:keepNext/>
        <w:spacing w:before="200" w:after="100"/>
      </w:pPr>
      <w:r>
        <w:rPr>
          <w:rFonts w:ascii="Arial" w:hAnsi="Arial" w:eastAsia="微软雅黑"/>
          <w:b/>
          <w:color w:val="000000"/>
          <w:sz w:val="30"/>
        </w:rPr>
        <w:t>摘要</w:t>
      </w:r>
    </w:p>
    <w:p>
      <w:pPr>
        <w:spacing w:line="360" w:lineRule="auto" w:after="100"/>
        <w:ind w:firstLine="420"/>
        <w:jc w:val="both"/>
      </w:pPr>
      <w:r>
        <w:rPr>
          <w:rFonts w:ascii="Arial" w:hAnsi="Arial" w:eastAsia="宋体"/>
          <w:color w:val="222222"/>
          <w:sz w:val="21"/>
        </w:rPr>
        <w:t>本报告针对数百间教室在上课和自习期间缺少持续监管、照明风扇空调可能空转的问题，提出一套以远传电表为计量基础、以 DDC 和设备接口为控制核心、以数字孪生平台为管理载体的节能监控方案。方案保留现场手动控制，自动化系统负责识别空置、执行延时关闭、限制空调设定值、发现异常用电并形成工单。消防应急回路不参与节能切断，空调采用正常停机接口，不采用频繁硬断电方式。</w:t>
      </w:r>
    </w:p>
    <w:p>
      <w:pPr>
        <w:spacing w:line="360" w:lineRule="auto" w:after="100"/>
        <w:ind w:firstLine="420"/>
        <w:jc w:val="both"/>
      </w:pPr>
      <w:r>
        <w:rPr>
          <w:rFonts w:ascii="Arial" w:hAnsi="Arial" w:eastAsia="宋体"/>
          <w:color w:val="222222"/>
          <w:sz w:val="21"/>
        </w:rPr>
        <w:t>按南通大学公开资料中的 371 间公共多媒体教室和 26 间公共智慧教室计算，保守纳入 397 间教室。中位情景估算年用电量约 383.0 万千瓦时，其中因空置运行、课表与设备状态不一致、设定值不合理等造成的非监管浪费约 50.8 万千瓦时，占 13.3%。按 0.85 元每千瓦时的测算电价，年浪费电费约 43.2 万元；按 2023 年全国电力平均二氧化碳排放因子 0.5306 千克每千瓦时折算，对应约 269.5 吨二氧化碳。上述结果是工程估算，不替代学校电表实测和财务结算数据。</w:t>
      </w:r>
    </w:p>
    <w:p>
      <w:pPr>
        <w:spacing w:line="360" w:lineRule="auto" w:after="100"/>
        <w:ind w:firstLine="420"/>
        <w:jc w:val="both"/>
      </w:pPr>
      <w:r>
        <w:rPr>
          <w:rFonts w:ascii="Arial" w:hAnsi="Arial" w:eastAsia="宋体"/>
          <w:b/>
          <w:color w:val="222222"/>
          <w:sz w:val="21"/>
        </w:rPr>
        <w:t>建议</w:t>
      </w:r>
      <w:r>
        <w:rPr>
          <w:rFonts w:ascii="Arial" w:hAnsi="Arial" w:eastAsia="宋体"/>
          <w:color w:val="222222"/>
          <w:sz w:val="21"/>
        </w:rPr>
        <w:t>先选取 30 间不同类型教室开展一学期试点，使用改造前后同类时段和相似天气条件进行校正比较。试点达到数据完整率不低于 99%、误关机事件低于每千教室日 1 次、归一化节电率不低于 12% 后，再按高浪费楼栋优先扩展。全校目标节电量为每年 45 万至 65 万千瓦时。</w:t>
      </w:r>
    </w:p>
    <w:p>
      <w:pPr>
        <w:spacing w:before="160" w:after="120"/>
      </w:pPr>
      <w:r>
        <w:rPr>
          <w:rFonts w:ascii="Arial" w:hAnsi="Arial" w:eastAsia="微软雅黑"/>
          <w:b/>
          <w:color w:val="222222"/>
          <w:sz w:val="21"/>
        </w:rPr>
        <w:t xml:space="preserve">关键词  </w:t>
      </w:r>
      <w:r>
        <w:rPr>
          <w:rFonts w:ascii="Arial" w:hAnsi="Arial" w:eastAsia="宋体"/>
          <w:color w:val="222222"/>
          <w:sz w:val="21"/>
        </w:rPr>
        <w:t>智能教室  节能监控  数字孪生  远传电表  DDC  智能断路器</w:t>
      </w:r>
    </w:p>
    <w:p>
      <w:r>
        <w:br w:type="page"/>
      </w:r>
    </w:p>
    <w:p>
      <w:pPr>
        <w:pStyle w:val="Heading1"/>
        <w:keepNext/>
        <w:spacing w:before="200" w:after="100"/>
      </w:pPr>
      <w:r>
        <w:rPr>
          <w:rFonts w:ascii="Arial" w:hAnsi="Arial" w:eastAsia="微软雅黑"/>
          <w:b/>
          <w:color w:val="000000"/>
          <w:sz w:val="30"/>
        </w:rPr>
        <w:t>目录</w:t>
      </w:r>
    </w:p>
    <w:tbl w:tblCaption="目录">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68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9"/>
              </w:rPr>
              <w:t>章节</w:t>
            </w:r>
          </w:p>
        </w:tc>
        <w:tc>
          <w:tcPr>
            <w:tcW w:type="dxa" w:w="124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9"/>
              </w:rPr>
              <w:t>页码</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摘要</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2</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一 建设背景与设计边界</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4</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二 年度用电量与非监管浪费估算</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5</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三 建设目标与总体要求</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7</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四 系统总体架构</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8</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五 教室自动控制策略</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10</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六 信息平台与数字孪生</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12</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七 管理机制与运行制度</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13</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八 电气安全与网络安全</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14</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九 分阶段实施与验收</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15</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十 投资与效益分析</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17</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十一 结论</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18</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附录 A 关键点位表</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19</w:t>
            </w:r>
          </w:p>
        </w:tc>
      </w:tr>
      <w:tr>
        <w:trPr>
          <w:cantSplit w:val="true"/>
        </w:trPr>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附录 B 验收测试用例</w:t>
            </w:r>
          </w:p>
        </w:tc>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20</w:t>
            </w:r>
          </w:p>
        </w:tc>
      </w:tr>
      <w:tr>
        <w:trPr>
          <w:cantSplit w:val="true"/>
        </w:trPr>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9"/>
              </w:rPr>
              <w:t>参考文献</w:t>
            </w:r>
          </w:p>
        </w:tc>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9"/>
              </w:rPr>
              <w:t>21</w:t>
            </w:r>
          </w:p>
        </w:tc>
      </w:tr>
    </w:tbl>
    <w:p>
      <w:pPr>
        <w:spacing w:after="20"/>
      </w:pPr>
    </w:p>
    <w:p>
      <w:r>
        <w:br w:type="page"/>
      </w:r>
    </w:p>
    <w:p>
      <w:pPr>
        <w:pStyle w:val="Heading1"/>
        <w:keepNext/>
        <w:spacing w:before="200" w:after="100"/>
      </w:pPr>
      <w:r>
        <w:rPr>
          <w:rFonts w:ascii="Arial" w:hAnsi="Arial" w:eastAsia="微软雅黑"/>
          <w:b/>
          <w:color w:val="000000"/>
          <w:sz w:val="30"/>
        </w:rPr>
        <w:t>一 建设背景与设计边界</w:t>
      </w:r>
    </w:p>
    <w:p>
      <w:pPr>
        <w:pStyle w:val="Heading2"/>
        <w:keepNext/>
        <w:spacing w:before="140" w:after="100"/>
      </w:pPr>
      <w:r>
        <w:rPr>
          <w:rFonts w:ascii="Arial" w:hAnsi="Arial" w:eastAsia="微软雅黑"/>
          <w:b/>
          <w:color w:val="000000"/>
          <w:sz w:val="24"/>
        </w:rPr>
        <w:t>1 校园与教室基线</w:t>
      </w:r>
    </w:p>
    <w:p>
      <w:pPr>
        <w:spacing w:line="360" w:lineRule="auto" w:after="100"/>
        <w:ind w:firstLine="420"/>
        <w:jc w:val="both"/>
      </w:pPr>
      <w:r>
        <w:rPr>
          <w:rFonts w:ascii="Arial" w:hAnsi="Arial" w:eastAsia="宋体"/>
          <w:color w:val="222222"/>
          <w:sz w:val="21"/>
        </w:rPr>
        <w:t>南通大学现有啬园、启秀和启东 3 个校区。学校公开简介显示，校园建筑面积已超过 130 万平方米，在校本科生 5 万余人。2022 至 2023 学年本科教学质量报告列出公共多媒体教室 371 间、公共智慧教室 26 间，并同时列出语音室、计算机公共实验室和录播教室等其他教学空间[1][2]。2024 年学校又新建或改造智慧教室 8 间、多媒体教室 22 间[3]。由于“改造”可能与原有 397 间重合，本报告不把这 30 间直接累加，而以 397 间作为保守基数，并要求实施前完成逐间台账核验。</w:t>
      </w:r>
    </w:p>
    <w:p>
      <w:pPr>
        <w:spacing w:line="360" w:lineRule="auto" w:after="100"/>
        <w:ind w:firstLine="420"/>
        <w:jc w:val="both"/>
      </w:pPr>
      <w:r>
        <w:rPr>
          <w:rFonts w:ascii="Arial" w:hAnsi="Arial" w:eastAsia="宋体"/>
          <w:color w:val="222222"/>
          <w:sz w:val="21"/>
        </w:rPr>
        <w:t>公开资料没有披露逐间教室的设备铭牌功率、课表占用时长和分项电量。本报告因此采用设备功率乘运行时间的自下而上方法估算，只用于论证项目必要性、确定量级和设计试点。正式立项应以配电图、铭牌、课表和连续不少于 4 周的电表数据修正参数。</w:t>
      </w:r>
    </w:p>
    <w:p>
      <w:pPr>
        <w:pStyle w:val="Heading2"/>
        <w:keepNext/>
        <w:spacing w:before="140" w:after="100"/>
      </w:pPr>
      <w:r>
        <w:rPr>
          <w:rFonts w:ascii="Arial" w:hAnsi="Arial" w:eastAsia="微软雅黑"/>
          <w:b/>
          <w:color w:val="000000"/>
          <w:sz w:val="24"/>
        </w:rPr>
        <w:t>2 现状问题</w:t>
      </w:r>
    </w:p>
    <w:p>
      <w:pPr>
        <w:pStyle w:val="ListBullet"/>
        <w:spacing w:line="300" w:lineRule="auto" w:after="60"/>
        <w:ind w:left="397" w:hanging="198"/>
      </w:pPr>
      <w:r>
        <w:rPr>
          <w:rFonts w:ascii="Arial" w:hAnsi="Arial" w:eastAsia="宋体"/>
          <w:color w:val="222222"/>
          <w:sz w:val="20"/>
        </w:rPr>
        <w:t>管理覆盖存在时间空档。管理员晚间巡查能够处理长明灯和未关空调，但白天课间、临时调课、晚自习结束和节假日临时使用仍依赖使用者自觉。</w:t>
      </w:r>
    </w:p>
    <w:p>
      <w:pPr>
        <w:pStyle w:val="ListBullet"/>
        <w:spacing w:line="300" w:lineRule="auto" w:after="60"/>
        <w:ind w:left="397" w:hanging="198"/>
      </w:pPr>
      <w:r>
        <w:rPr>
          <w:rFonts w:ascii="Arial" w:hAnsi="Arial" w:eastAsia="宋体"/>
          <w:color w:val="222222"/>
          <w:sz w:val="20"/>
        </w:rPr>
        <w:t>教室状态分散。课表、门禁或占用、环境参数、设备开关和回路功率往往属于不同系统，无法自动判断“有课但无人”“无人但有功率”等异常。</w:t>
      </w:r>
    </w:p>
    <w:p>
      <w:pPr>
        <w:pStyle w:val="ListBullet"/>
        <w:spacing w:line="300" w:lineRule="auto" w:after="60"/>
        <w:ind w:left="397" w:hanging="198"/>
      </w:pPr>
      <w:r>
        <w:rPr>
          <w:rFonts w:ascii="Arial" w:hAnsi="Arial" w:eastAsia="宋体"/>
          <w:color w:val="222222"/>
          <w:sz w:val="20"/>
        </w:rPr>
        <w:t>控制方式不统一。照明、风扇、分体空调和多媒体设备的接口不同，简单远程断电可能损害压缩机，也可能影响教学与安全。</w:t>
      </w:r>
    </w:p>
    <w:p>
      <w:pPr>
        <w:pStyle w:val="ListBullet"/>
        <w:spacing w:line="300" w:lineRule="auto" w:after="60"/>
        <w:ind w:left="397" w:hanging="198"/>
      </w:pPr>
      <w:r>
        <w:rPr>
          <w:rFonts w:ascii="Arial" w:hAnsi="Arial" w:eastAsia="宋体"/>
          <w:color w:val="222222"/>
          <w:sz w:val="20"/>
        </w:rPr>
        <w:t>节能责任难量化。若只有楼栋总表，管理部门难以比较同类教室、核实节能措施和定位故障。</w:t>
      </w:r>
    </w:p>
    <w:p>
      <w:pPr>
        <w:pStyle w:val="Heading2"/>
        <w:keepNext/>
        <w:spacing w:before="140" w:after="100"/>
      </w:pPr>
      <w:r>
        <w:rPr>
          <w:rFonts w:ascii="Arial" w:hAnsi="Arial" w:eastAsia="微软雅黑"/>
          <w:b/>
          <w:color w:val="000000"/>
          <w:sz w:val="24"/>
        </w:rPr>
        <w:t>3 设计边界</w:t>
      </w:r>
    </w:p>
    <w:p>
      <w:pPr>
        <w:spacing w:line="360" w:lineRule="auto" w:after="100"/>
        <w:ind w:firstLine="420"/>
        <w:jc w:val="both"/>
      </w:pPr>
      <w:r>
        <w:rPr>
          <w:rFonts w:ascii="Arial" w:hAnsi="Arial" w:eastAsia="宋体"/>
          <w:color w:val="222222"/>
          <w:sz w:val="21"/>
        </w:rPr>
        <w:t>本方案覆盖普通多媒体教室、智慧教室和开放自习教室中的照明、普通风扇、舒适性空调及教学多媒体非消防负荷。实验室专用设备、数据中心、消防设备、应急照明、电梯和医疗负荷不纳入自动节能切断。系统使用内部管理级计量，不作为供电结算表。</w:t>
      </w:r>
    </w:p>
    <w:p>
      <w:r>
        <w:br w:type="page"/>
      </w:r>
    </w:p>
    <w:p>
      <w:pPr>
        <w:pStyle w:val="Heading1"/>
        <w:keepNext/>
        <w:spacing w:before="200" w:after="100"/>
      </w:pPr>
      <w:r>
        <w:rPr>
          <w:rFonts w:ascii="Arial" w:hAnsi="Arial" w:eastAsia="微软雅黑"/>
          <w:b/>
          <w:color w:val="000000"/>
          <w:sz w:val="30"/>
        </w:rPr>
        <w:t>二 年度用电量与非监管浪费估算</w:t>
      </w:r>
    </w:p>
    <w:p>
      <w:pPr>
        <w:pStyle w:val="Heading2"/>
        <w:keepNext/>
        <w:spacing w:before="140" w:after="100"/>
      </w:pPr>
      <w:r>
        <w:rPr>
          <w:rFonts w:ascii="Arial" w:hAnsi="Arial" w:eastAsia="微软雅黑"/>
          <w:b/>
          <w:color w:val="000000"/>
          <w:sz w:val="24"/>
        </w:rPr>
        <w:t>1 中位情景参数</w:t>
      </w:r>
    </w:p>
    <w:p>
      <w:pPr>
        <w:spacing w:line="360" w:lineRule="auto" w:after="100"/>
        <w:ind w:firstLine="420"/>
        <w:jc w:val="both"/>
      </w:pPr>
      <w:r>
        <w:rPr>
          <w:rFonts w:ascii="Arial" w:hAnsi="Arial" w:eastAsia="宋体"/>
          <w:color w:val="222222"/>
          <w:sz w:val="21"/>
        </w:rPr>
        <w:t>以 397 间教室为基数，假设普通教室平均配置照明 1.30 千瓦、风扇 0.45 千瓦、空调平均输入功率 8.00 千瓦、多媒体设备 0.35 千瓦。运行小时综合考虑教学周、自习开放、夏冬季空调启用和设备非满载。空调开启边界遵循学校现行管理规定，即夏季室外最高温度连续 3 天达到 30 摄氏度以上可制冷，冬季室外最低温度连续 3 天达到 5 摄氏度以下可制热，制冷设定不低于 26 摄氏度、制热不高于 20 摄氏度，并执行人离机停[4]。</w:t>
      </w:r>
    </w:p>
    <w:tbl>
      <w:tblPr>
        <w:tblW w:type="auto" w:w="0"/>
        <w:jc w:val="center"/>
        <w:tblLayout w:type="fixed"/>
        <w:tblLook w:firstColumn="1" w:firstRow="1" w:lastColumn="0" w:lastRow="0" w:noHBand="0" w:noVBand="1" w:val="04A0"/>
      </w:tblPr>
      <w:tblGrid>
        <w:gridCol w:w="1653"/>
        <w:gridCol w:w="1653"/>
        <w:gridCol w:w="1653"/>
        <w:gridCol w:w="1653"/>
        <w:gridCol w:w="1653"/>
        <w:gridCol w:w="1653"/>
      </w:tblGrid>
      <w:tr>
        <w:trPr>
          <w:tblHeader w:val="true"/>
          <w:cantSplit w:val="true"/>
        </w:trPr>
        <w:tc>
          <w:tcPr>
            <w:tcW w:type="dxa" w:w="102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设备</w:t>
            </w:r>
          </w:p>
        </w:tc>
        <w:tc>
          <w:tcPr>
            <w:tcW w:type="dxa" w:w="119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平均功率 kW</w:t>
            </w:r>
          </w:p>
        </w:tc>
        <w:tc>
          <w:tcPr>
            <w:tcW w:type="dxa" w:w="96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年运行 h</w:t>
            </w:r>
          </w:p>
        </w:tc>
        <w:tc>
          <w:tcPr>
            <w:tcW w:type="dxa" w:w="13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单室年电量 kWh</w:t>
            </w:r>
          </w:p>
        </w:tc>
        <w:tc>
          <w:tcPr>
            <w:tcW w:type="dxa" w:w="102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非监管比例</w:t>
            </w:r>
          </w:p>
        </w:tc>
        <w:tc>
          <w:tcPr>
            <w:tcW w:type="dxa" w:w="29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主要原因</w:t>
            </w:r>
          </w:p>
        </w:tc>
      </w:tr>
      <w:tr>
        <w:trPr>
          <w:cantSplit w:val="true"/>
        </w:trPr>
        <w:tc>
          <w:tcPr>
            <w:tcW w:type="dxa" w:w="102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照明</w:t>
            </w:r>
          </w:p>
        </w:tc>
        <w:tc>
          <w:tcPr>
            <w:tcW w:type="dxa" w:w="119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1.30</w:t>
            </w:r>
          </w:p>
        </w:tc>
        <w:tc>
          <w:tcPr>
            <w:tcW w:type="dxa" w:w="96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2100</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2730</w:t>
            </w:r>
          </w:p>
        </w:tc>
        <w:tc>
          <w:tcPr>
            <w:tcW w:type="dxa" w:w="102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12%</w:t>
            </w:r>
          </w:p>
        </w:tc>
        <w:tc>
          <w:tcPr>
            <w:tcW w:type="dxa" w:w="29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空教室长明和自然采光充足时未分区关闭</w:t>
            </w:r>
          </w:p>
        </w:tc>
      </w:tr>
      <w:tr>
        <w:trPr>
          <w:cantSplit w:val="true"/>
        </w:trPr>
        <w:tc>
          <w:tcPr>
            <w:tcW w:type="dxa" w:w="102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风扇</w:t>
            </w:r>
          </w:p>
        </w:tc>
        <w:tc>
          <w:tcPr>
            <w:tcW w:type="dxa" w:w="119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0.45</w:t>
            </w:r>
          </w:p>
        </w:tc>
        <w:tc>
          <w:tcPr>
            <w:tcW w:type="dxa" w:w="96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450</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202.5</w:t>
            </w:r>
          </w:p>
        </w:tc>
        <w:tc>
          <w:tcPr>
            <w:tcW w:type="dxa" w:w="102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15%</w:t>
            </w:r>
          </w:p>
        </w:tc>
        <w:tc>
          <w:tcPr>
            <w:tcW w:type="dxa" w:w="29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课间或离场后未关闭</w:t>
            </w:r>
          </w:p>
        </w:tc>
      </w:tr>
      <w:tr>
        <w:trPr>
          <w:cantSplit w:val="true"/>
        </w:trPr>
        <w:tc>
          <w:tcPr>
            <w:tcW w:type="dxa" w:w="102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空调</w:t>
            </w:r>
          </w:p>
        </w:tc>
        <w:tc>
          <w:tcPr>
            <w:tcW w:type="dxa" w:w="119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8.00</w:t>
            </w:r>
          </w:p>
        </w:tc>
        <w:tc>
          <w:tcPr>
            <w:tcW w:type="dxa" w:w="96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800</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6400</w:t>
            </w:r>
          </w:p>
        </w:tc>
        <w:tc>
          <w:tcPr>
            <w:tcW w:type="dxa" w:w="102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14%</w:t>
            </w:r>
          </w:p>
        </w:tc>
        <w:tc>
          <w:tcPr>
            <w:tcW w:type="dxa" w:w="29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空置运行  门窗开启  设定值过低或过高</w:t>
            </w:r>
          </w:p>
        </w:tc>
      </w:tr>
      <w:tr>
        <w:trPr>
          <w:cantSplit w:val="true"/>
        </w:trPr>
        <w:tc>
          <w:tcPr>
            <w:tcW w:type="dxa" w:w="102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多媒体</w:t>
            </w:r>
          </w:p>
        </w:tc>
        <w:tc>
          <w:tcPr>
            <w:tcW w:type="dxa" w:w="119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0.35</w:t>
            </w:r>
          </w:p>
        </w:tc>
        <w:tc>
          <w:tcPr>
            <w:tcW w:type="dxa" w:w="96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900</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315</w:t>
            </w:r>
          </w:p>
        </w:tc>
        <w:tc>
          <w:tcPr>
            <w:tcW w:type="dxa" w:w="102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8%</w:t>
            </w:r>
          </w:p>
        </w:tc>
        <w:tc>
          <w:tcPr>
            <w:tcW w:type="dxa" w:w="29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投影与扩声待机或课后未退出</w:t>
            </w:r>
          </w:p>
        </w:tc>
      </w:tr>
    </w:tbl>
    <w:p>
      <w:pPr>
        <w:spacing w:after="20"/>
      </w:pPr>
    </w:p>
    <w:p>
      <w:pPr>
        <w:spacing w:line="360" w:lineRule="auto" w:after="100"/>
        <w:jc w:val="both"/>
      </w:pPr>
      <w:r>
        <w:rPr>
          <w:rFonts w:ascii="Arial" w:hAnsi="Arial" w:eastAsia="宋体"/>
          <w:color w:val="222222"/>
          <w:sz w:val="21"/>
        </w:rPr>
        <w:t>计算关系为 年用电量等于教室数量乘设备平均功率乘年运行小时。非监管浪费等于各类设备年用电量乘相应非监管比例。参数按平均教室折算，空调功率指运行期平均输入功率，不等于铭牌最大值。</w:t>
      </w:r>
    </w:p>
    <w:p>
      <w:pPr>
        <w:pStyle w:val="Heading2"/>
        <w:keepNext/>
        <w:spacing w:before="140" w:after="100"/>
      </w:pPr>
      <w:r>
        <w:rPr>
          <w:rFonts w:ascii="Arial" w:hAnsi="Arial" w:eastAsia="微软雅黑"/>
          <w:b/>
          <w:color w:val="000000"/>
          <w:sz w:val="24"/>
        </w:rPr>
        <w:t>2 估算结果</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val="true"/>
        </w:trPr>
        <w:tc>
          <w:tcPr>
            <w:tcW w:type="dxa" w:w="170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分项</w:t>
            </w:r>
          </w:p>
        </w:tc>
        <w:tc>
          <w:tcPr>
            <w:tcW w:type="dxa" w:w="204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年用电量 万kWh</w:t>
            </w:r>
          </w:p>
        </w:tc>
        <w:tc>
          <w:tcPr>
            <w:tcW w:type="dxa" w:w="215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非监管浪费 万kWh</w:t>
            </w:r>
          </w:p>
        </w:tc>
        <w:tc>
          <w:tcPr>
            <w:tcW w:type="dxa" w:w="187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浪费电费 万元</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照明</w:t>
            </w:r>
          </w:p>
        </w:tc>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108.38</w:t>
            </w:r>
          </w:p>
        </w:tc>
        <w:tc>
          <w:tcPr>
            <w:tcW w:type="dxa" w:w="215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13.01</w:t>
            </w:r>
          </w:p>
        </w:tc>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11.1</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风扇</w:t>
            </w:r>
          </w:p>
        </w:tc>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8.04</w:t>
            </w:r>
          </w:p>
        </w:tc>
        <w:tc>
          <w:tcPr>
            <w:tcW w:type="dxa" w:w="215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1.21</w:t>
            </w:r>
          </w:p>
        </w:tc>
        <w:tc>
          <w:tcPr>
            <w:tcW w:type="dxa" w:w="187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1.0</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空调</w:t>
            </w:r>
          </w:p>
        </w:tc>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254.08</w:t>
            </w:r>
          </w:p>
        </w:tc>
        <w:tc>
          <w:tcPr>
            <w:tcW w:type="dxa" w:w="215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35.57</w:t>
            </w:r>
          </w:p>
        </w:tc>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30.2</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多媒体</w:t>
            </w:r>
          </w:p>
        </w:tc>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12.51</w:t>
            </w:r>
          </w:p>
        </w:tc>
        <w:tc>
          <w:tcPr>
            <w:tcW w:type="dxa" w:w="215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1.00</w:t>
            </w:r>
          </w:p>
        </w:tc>
        <w:tc>
          <w:tcPr>
            <w:tcW w:type="dxa" w:w="187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0.9</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合计</w:t>
            </w:r>
          </w:p>
        </w:tc>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383.01</w:t>
            </w:r>
          </w:p>
        </w:tc>
        <w:tc>
          <w:tcPr>
            <w:tcW w:type="dxa" w:w="215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50.78</w:t>
            </w:r>
          </w:p>
        </w:tc>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43.2</w:t>
            </w:r>
          </w:p>
        </w:tc>
      </w:tr>
    </w:tbl>
    <w:p>
      <w:pPr>
        <w:spacing w:after="20"/>
      </w:pPr>
    </w:p>
    <w:p>
      <w:pPr>
        <w:spacing w:line="360" w:lineRule="auto" w:after="100"/>
        <w:ind w:firstLine="420"/>
        <w:jc w:val="both"/>
      </w:pPr>
      <w:r>
        <w:rPr>
          <w:rFonts w:ascii="Arial" w:hAnsi="Arial" w:eastAsia="宋体"/>
          <w:color w:val="222222"/>
          <w:sz w:val="21"/>
        </w:rPr>
        <w:t>中位情景下，教室年用电量约 383.0 万千瓦时，非监管浪费约 50.8 万千瓦时。按测算电价 0.85 元每千瓦时，浪费电费约 43.2 万元。0.85 元仅为方案比较用的综合假设值，正式财务测算应替换为学校合同电价、容量电费和分时电价的实际结构。</w:t>
      </w:r>
    </w:p>
    <w:p>
      <w:pPr>
        <w:keepNext/>
        <w:jc w:val="center"/>
      </w:pPr>
      <w:r>
        <w:drawing>
          <wp:inline xmlns:a="http://schemas.openxmlformats.org/drawingml/2006/main" xmlns:pic="http://schemas.openxmlformats.org/drawingml/2006/picture">
            <wp:extent cx="6080760" cy="3310636"/>
            <wp:docPr id="1" name="Picture 1" descr="图 1  中位情景下教室年用电构成与非监管浪费  橙色为浪费部分" title="图 1  中位情景下教室年用电构成与非监管浪费  橙色为浪费部分"/>
            <wp:cNvGraphicFramePr>
              <a:graphicFrameLocks noChangeAspect="1"/>
            </wp:cNvGraphicFramePr>
            <a:graphic>
              <a:graphicData uri="http://schemas.openxmlformats.org/drawingml/2006/picture">
                <pic:pic>
                  <pic:nvPicPr>
                    <pic:cNvPr id="0" name="energy_baseline.png"/>
                    <pic:cNvPicPr/>
                  </pic:nvPicPr>
                  <pic:blipFill>
                    <a:blip r:embed="rId11"/>
                    <a:stretch>
                      <a:fillRect/>
                    </a:stretch>
                  </pic:blipFill>
                  <pic:spPr>
                    <a:xfrm>
                      <a:off x="0" y="0"/>
                      <a:ext cx="6080760" cy="3310636"/>
                    </a:xfrm>
                    <a:prstGeom prst="rect"/>
                  </pic:spPr>
                </pic:pic>
              </a:graphicData>
            </a:graphic>
          </wp:inline>
        </w:drawing>
      </w:r>
    </w:p>
    <w:p>
      <w:pPr>
        <w:spacing w:before="60" w:after="140"/>
        <w:jc w:val="center"/>
      </w:pPr>
      <w:r>
        <w:rPr>
          <w:rFonts w:ascii="Arial" w:hAnsi="Arial" w:eastAsia="宋体"/>
          <w:color w:val="5C6773"/>
          <w:sz w:val="18"/>
        </w:rPr>
        <w:t>图 1  中位情景下教室年用电构成与非监管浪费  橙色为浪费部分</w:t>
      </w:r>
    </w:p>
    <w:p>
      <w:pPr>
        <w:pStyle w:val="Heading2"/>
        <w:keepNext/>
        <w:spacing w:before="140" w:after="100"/>
      </w:pPr>
      <w:r>
        <w:rPr>
          <w:rFonts w:ascii="Arial" w:hAnsi="Arial" w:eastAsia="微软雅黑"/>
          <w:b/>
          <w:color w:val="000000"/>
          <w:sz w:val="24"/>
        </w:rPr>
        <w:t>3 不确定性与敏感性</w:t>
      </w:r>
    </w:p>
    <w:tbl>
      <w:tblPr>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val="true"/>
        </w:trPr>
        <w:tc>
          <w:tcPr>
            <w:tcW w:type="dxa" w:w="124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情景</w:t>
            </w:r>
          </w:p>
        </w:tc>
        <w:tc>
          <w:tcPr>
            <w:tcW w:type="dxa" w:w="153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年用电 万kWh</w:t>
            </w:r>
          </w:p>
        </w:tc>
        <w:tc>
          <w:tcPr>
            <w:tcW w:type="dxa" w:w="141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浪费 万kWh</w:t>
            </w:r>
          </w:p>
        </w:tc>
        <w:tc>
          <w:tcPr>
            <w:tcW w:type="dxa" w:w="119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浪费率</w:t>
            </w:r>
          </w:p>
        </w:tc>
        <w:tc>
          <w:tcPr>
            <w:tcW w:type="dxa" w:w="345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条件</w:t>
            </w:r>
          </w:p>
        </w:tc>
      </w:tr>
      <w:tr>
        <w:trPr>
          <w:cantSplit w:val="true"/>
        </w:trPr>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低情景</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265</w:t>
            </w:r>
          </w:p>
        </w:tc>
        <w:tc>
          <w:tcPr>
            <w:tcW w:type="dxa" w:w="141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27</w:t>
            </w:r>
          </w:p>
        </w:tc>
        <w:tc>
          <w:tcPr>
            <w:tcW w:type="dxa" w:w="119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10.2%</w:t>
            </w:r>
          </w:p>
        </w:tc>
        <w:tc>
          <w:tcPr>
            <w:tcW w:type="dxa" w:w="345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设备功率较低  空调季较短  使用者关机习惯较好</w:t>
            </w:r>
          </w:p>
        </w:tc>
      </w:tr>
      <w:tr>
        <w:trPr>
          <w:cantSplit w:val="true"/>
        </w:trPr>
        <w:tc>
          <w:tcPr>
            <w:tcW w:type="dxa" w:w="124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中位情景</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383</w:t>
            </w:r>
          </w:p>
        </w:tc>
        <w:tc>
          <w:tcPr>
            <w:tcW w:type="dxa" w:w="141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51</w:t>
            </w:r>
          </w:p>
        </w:tc>
        <w:tc>
          <w:tcPr>
            <w:tcW w:type="dxa" w:w="119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13.3%</w:t>
            </w:r>
          </w:p>
        </w:tc>
        <w:tc>
          <w:tcPr>
            <w:tcW w:type="dxa" w:w="345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采用本报告参数</w:t>
            </w:r>
          </w:p>
        </w:tc>
      </w:tr>
      <w:tr>
        <w:trPr>
          <w:cantSplit w:val="true"/>
        </w:trPr>
        <w:tc>
          <w:tcPr>
            <w:tcW w:type="dxa" w:w="124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高情景</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530</w:t>
            </w:r>
          </w:p>
        </w:tc>
        <w:tc>
          <w:tcPr>
            <w:tcW w:type="dxa" w:w="141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86</w:t>
            </w:r>
          </w:p>
        </w:tc>
        <w:tc>
          <w:tcPr>
            <w:tcW w:type="dxa" w:w="119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16.2%</w:t>
            </w:r>
          </w:p>
        </w:tc>
        <w:tc>
          <w:tcPr>
            <w:tcW w:type="dxa" w:w="345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大教室比例较高  空调时长较长  调课与自习更频繁</w:t>
            </w:r>
          </w:p>
        </w:tc>
      </w:tr>
    </w:tbl>
    <w:p>
      <w:pPr>
        <w:spacing w:after="20"/>
      </w:pPr>
    </w:p>
    <w:p>
      <w:pPr>
        <w:spacing w:line="360" w:lineRule="auto" w:after="100"/>
        <w:ind w:firstLine="420"/>
        <w:jc w:val="both"/>
      </w:pPr>
      <w:r>
        <w:rPr>
          <w:rFonts w:ascii="Arial" w:hAnsi="Arial" w:eastAsia="宋体"/>
          <w:color w:val="222222"/>
          <w:sz w:val="21"/>
        </w:rPr>
        <w:t>结果对空调平均功率、空调季运行小时和空置运行比例最敏感。中位情景中，空调贡献约 70% 的非监管浪费，因此项目不能只做照明人体感应，还应接入空调的启停和设定值控制。上线后应用远传电表对估算进行校准，形成按校区、楼栋、楼层、教室和设备分项逐级汇总的实测基线。</w:t>
      </w:r>
    </w:p>
    <w:p>
      <w:pPr>
        <w:pStyle w:val="Heading2"/>
        <w:keepNext/>
        <w:spacing w:before="140" w:after="100"/>
      </w:pPr>
      <w:r>
        <w:rPr>
          <w:rFonts w:ascii="Arial" w:hAnsi="Arial" w:eastAsia="微软雅黑"/>
          <w:b/>
          <w:color w:val="000000"/>
          <w:sz w:val="24"/>
        </w:rPr>
        <w:t>4 建设必要性</w:t>
      </w:r>
    </w:p>
    <w:p>
      <w:pPr>
        <w:spacing w:line="360" w:lineRule="auto" w:after="100"/>
        <w:ind w:firstLine="420"/>
        <w:jc w:val="both"/>
      </w:pPr>
      <w:r>
        <w:rPr>
          <w:rFonts w:ascii="Arial" w:hAnsi="Arial" w:eastAsia="宋体"/>
          <w:color w:val="222222"/>
          <w:sz w:val="21"/>
        </w:rPr>
        <w:t>第一，日常巡查属于事后纠正，无法覆盖数百间教室在全天多个时间窗口中的状态变化。自动化系统可以把空置识别和延时关机下沉到每间教室。第二，远传计量使节能效果可以核证，避免只凭总电费判断。教育部和住房城乡建设部发布的高校校园建筑节能监管导则要求按建筑和空调、动力、照明等分项采集能耗，并设置数据网关、管理平台和运行制度[5][6]。第三，系统同时提高电气异常发现能力，能识别夜间持续功率、回路过载、控制失败和设备效率下降。</w:t>
      </w:r>
    </w:p>
    <w:p>
      <w:pPr>
        <w:spacing w:line="360" w:lineRule="auto" w:after="100"/>
        <w:ind w:firstLine="420"/>
        <w:jc w:val="both"/>
      </w:pPr>
      <w:r>
        <w:rPr>
          <w:rFonts w:ascii="Arial" w:hAnsi="Arial" w:eastAsia="宋体"/>
          <w:color w:val="222222"/>
          <w:sz w:val="21"/>
        </w:rPr>
        <w:t>按 2023 年全国电力平均二氧化碳排放因子 0.5306 千克每千瓦时计算，50.8 万千瓦时浪费对应约 269.5 吨二氧化碳[10]。若方案每年节电 45 万至 65 万千瓦时，可减少约 238.8 至 344.9 吨二氧化碳。</w:t>
      </w:r>
    </w:p>
    <w:p>
      <w:pPr>
        <w:pStyle w:val="Heading1"/>
        <w:keepNext/>
        <w:spacing w:before="200" w:after="100"/>
      </w:pPr>
      <w:r>
        <w:rPr>
          <w:rFonts w:ascii="Arial" w:hAnsi="Arial" w:eastAsia="微软雅黑"/>
          <w:b/>
          <w:color w:val="000000"/>
          <w:sz w:val="30"/>
        </w:rPr>
        <w:t>三 建设目标与总体要求</w:t>
      </w:r>
    </w:p>
    <w:p>
      <w:pPr>
        <w:spacing w:line="360" w:lineRule="auto" w:after="100"/>
        <w:ind w:firstLine="420"/>
        <w:jc w:val="both"/>
      </w:pPr>
      <w:r>
        <w:rPr>
          <w:rFonts w:ascii="Arial" w:hAnsi="Arial" w:eastAsia="宋体"/>
          <w:color w:val="222222"/>
          <w:sz w:val="21"/>
        </w:rPr>
        <w:t>建设目标是形成可计量、可判断、可控制、可追溯的教室用能闭环，并在不影响正常教学和电气安全的前提下降低无效运行。</w:t>
      </w:r>
    </w:p>
    <w:p>
      <w:pPr>
        <w:pStyle w:val="ListNumber"/>
        <w:spacing w:line="300" w:lineRule="auto" w:after="60"/>
        <w:ind w:left="397" w:hanging="198"/>
      </w:pPr>
      <w:r>
        <w:rPr>
          <w:rFonts w:ascii="Arial" w:hAnsi="Arial" w:eastAsia="宋体"/>
          <w:color w:val="222222"/>
          <w:sz w:val="20"/>
        </w:rPr>
        <w:t>建立一室一档。每间教室绑定空间编码、配电回路、电表、设备、传感器、控制器、课表和责任人。</w:t>
      </w:r>
    </w:p>
    <w:p>
      <w:pPr>
        <w:pStyle w:val="ListNumber"/>
        <w:spacing w:line="300" w:lineRule="auto" w:after="60"/>
        <w:ind w:left="397" w:hanging="198"/>
      </w:pPr>
      <w:r>
        <w:rPr>
          <w:rFonts w:ascii="Arial" w:hAnsi="Arial" w:eastAsia="宋体"/>
          <w:color w:val="222222"/>
          <w:sz w:val="20"/>
        </w:rPr>
        <w:t>实现分项计量。至少区分照明插座、空调和多媒体回路；条件不足的旧楼先做到楼层和教室总电量，改造时逐步细分。</w:t>
      </w:r>
    </w:p>
    <w:p>
      <w:pPr>
        <w:pStyle w:val="ListNumber"/>
        <w:spacing w:line="300" w:lineRule="auto" w:after="60"/>
        <w:ind w:left="397" w:hanging="198"/>
      </w:pPr>
      <w:r>
        <w:rPr>
          <w:rFonts w:ascii="Arial" w:hAnsi="Arial" w:eastAsia="宋体"/>
          <w:color w:val="222222"/>
          <w:sz w:val="20"/>
        </w:rPr>
        <w:t>实现本地自治。网络或平台故障时，DDC 仍按课表缓存、占用状态和安全延时运行，现场开关保持可用。</w:t>
      </w:r>
    </w:p>
    <w:p>
      <w:pPr>
        <w:pStyle w:val="ListNumber"/>
        <w:spacing w:line="300" w:lineRule="auto" w:after="60"/>
        <w:ind w:left="397" w:hanging="198"/>
      </w:pPr>
      <w:r>
        <w:rPr>
          <w:rFonts w:ascii="Arial" w:hAnsi="Arial" w:eastAsia="宋体"/>
          <w:color w:val="222222"/>
          <w:sz w:val="20"/>
        </w:rPr>
        <w:t>实现数据驱动管理。平台提供异常告警、工单、同类教室对标、节能量核算和月度公示。</w:t>
      </w:r>
    </w:p>
    <w:p>
      <w:pPr>
        <w:pStyle w:val="ListNumber"/>
        <w:spacing w:line="300" w:lineRule="auto" w:after="60"/>
        <w:ind w:left="397" w:hanging="198"/>
      </w:pPr>
      <w:r>
        <w:rPr>
          <w:rFonts w:ascii="Arial" w:hAnsi="Arial" w:eastAsia="宋体"/>
          <w:color w:val="222222"/>
          <w:sz w:val="20"/>
        </w:rPr>
        <w:t>坚持开放兼容。计量侧优先采用 RS-485 与 Modbus，楼宇侧可使用 BACnet/IP，平台消息接口采用经学校批准的标准协议，避免被单一厂商锁定。</w:t>
      </w:r>
    </w:p>
    <w:p>
      <w:r>
        <w:br w:type="page"/>
      </w:r>
    </w:p>
    <w:p>
      <w:pPr>
        <w:pStyle w:val="Heading1"/>
        <w:keepNext/>
        <w:spacing w:before="200" w:after="100"/>
      </w:pPr>
      <w:r>
        <w:rPr>
          <w:rFonts w:ascii="Arial" w:hAnsi="Arial" w:eastAsia="微软雅黑"/>
          <w:b/>
          <w:color w:val="000000"/>
          <w:sz w:val="30"/>
        </w:rPr>
        <w:t>四 系统总体架构</w:t>
      </w:r>
    </w:p>
    <w:p>
      <w:pPr>
        <w:keepNext/>
        <w:jc w:val="center"/>
      </w:pPr>
      <w:r>
        <w:drawing>
          <wp:inline xmlns:a="http://schemas.openxmlformats.org/drawingml/2006/main" xmlns:pic="http://schemas.openxmlformats.org/drawingml/2006/picture">
            <wp:extent cx="6172200" cy="3833261"/>
            <wp:docPr id="2" name="Picture 2" descr="图 2  教室节能监控系统分层架构" title="图 2  教室节能监控系统分层架构"/>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6172200" cy="3833261"/>
                    </a:xfrm>
                    <a:prstGeom prst="rect"/>
                  </pic:spPr>
                </pic:pic>
              </a:graphicData>
            </a:graphic>
          </wp:inline>
        </w:drawing>
      </w:r>
    </w:p>
    <w:p>
      <w:pPr>
        <w:spacing w:before="60" w:after="140"/>
        <w:jc w:val="center"/>
      </w:pPr>
      <w:r>
        <w:rPr>
          <w:rFonts w:ascii="Arial" w:hAnsi="Arial" w:eastAsia="宋体"/>
          <w:color w:val="5C6773"/>
          <w:sz w:val="18"/>
        </w:rPr>
        <w:t>图 2  教室节能监控系统分层架构</w:t>
      </w:r>
    </w:p>
    <w:p>
      <w:pPr>
        <w:pStyle w:val="Heading2"/>
        <w:keepNext/>
        <w:spacing w:before="140" w:after="100"/>
      </w:pPr>
      <w:r>
        <w:rPr>
          <w:rFonts w:ascii="Arial" w:hAnsi="Arial" w:eastAsia="微软雅黑"/>
          <w:b/>
          <w:color w:val="000000"/>
          <w:sz w:val="24"/>
        </w:rPr>
        <w:t>1 设备层</w:t>
      </w:r>
    </w:p>
    <w:p>
      <w:pPr>
        <w:spacing w:line="360" w:lineRule="auto" w:after="100"/>
        <w:ind w:firstLine="420"/>
        <w:jc w:val="both"/>
      </w:pPr>
      <w:r>
        <w:rPr>
          <w:rFonts w:ascii="Arial" w:hAnsi="Arial" w:eastAsia="宋体"/>
          <w:color w:val="222222"/>
          <w:sz w:val="21"/>
        </w:rPr>
        <w:t>远传电表采集有功电量、功率、电流、电压和功率因数。智能断路器或带通信的保护装置用于状态监测、故障保护和必要的远程隔离。频繁启停由接触器、调光模块或设备原生控制接口执行，不把断路器当作普通开关。空调优先使用厂家协议网关、集中控制接口或干接点；确需红外控制时，必须增加状态反馈，避免只有命令没有结果。</w:t>
      </w:r>
    </w:p>
    <w:p>
      <w:pPr>
        <w:spacing w:line="360" w:lineRule="auto" w:after="100"/>
        <w:ind w:firstLine="420"/>
        <w:jc w:val="both"/>
      </w:pPr>
      <w:r>
        <w:rPr>
          <w:rFonts w:ascii="Arial" w:hAnsi="Arial" w:eastAsia="宋体"/>
          <w:color w:val="222222"/>
          <w:sz w:val="21"/>
        </w:rPr>
        <w:t>占用传感器宜采用被动红外与微波复合方式，大教室可增加毫米波或低分辨率热阵列。照度、温湿度和二氧化碳传感器用于照明分区、空调运行和舒适度验证。默认不使用人脸识别；如利用现有视频估算人数，应在边缘侧只输出人数和置信度，不上传或长期保存人脸图像。</w:t>
      </w:r>
    </w:p>
    <w:p>
      <w:pPr>
        <w:pStyle w:val="Heading2"/>
        <w:keepNext/>
        <w:spacing w:before="140" w:after="100"/>
      </w:pPr>
      <w:r>
        <w:rPr>
          <w:rFonts w:ascii="Arial" w:hAnsi="Arial" w:eastAsia="微软雅黑"/>
          <w:b/>
          <w:color w:val="000000"/>
          <w:sz w:val="24"/>
        </w:rPr>
        <w:t>2 边缘层</w:t>
      </w:r>
    </w:p>
    <w:p>
      <w:pPr>
        <w:spacing w:line="360" w:lineRule="auto" w:after="100"/>
        <w:ind w:firstLine="420"/>
        <w:jc w:val="both"/>
      </w:pPr>
      <w:r>
        <w:rPr>
          <w:rFonts w:ascii="Arial" w:hAnsi="Arial" w:eastAsia="宋体"/>
          <w:color w:val="222222"/>
          <w:sz w:val="21"/>
        </w:rPr>
        <w:t>每栋教学楼设置一至多个数据网关，完成 Modbus RTU、Modbus TCP、BACnet/IP 等协议转换、时间同步、断网缓存和批量上送。DDC 保存至少 7 天课表与本地策略，平台不可用时仍能执行自动关闭和安全联锁。网关恢复连接后补传数据，不覆盖原始时间戳。GB/T 19582.2-2008 规定了 Modbus 串行链路实现，可作为现场总线设计参考[9]。</w:t>
      </w:r>
    </w:p>
    <w:p>
      <w:pPr>
        <w:pStyle w:val="Heading2"/>
        <w:keepNext/>
        <w:spacing w:before="140" w:after="100"/>
      </w:pPr>
      <w:r>
        <w:rPr>
          <w:rFonts w:ascii="Arial" w:hAnsi="Arial" w:eastAsia="微软雅黑"/>
          <w:b/>
          <w:color w:val="000000"/>
          <w:sz w:val="24"/>
        </w:rPr>
        <w:t>3 平台层与应用层</w:t>
      </w:r>
    </w:p>
    <w:p>
      <w:pPr>
        <w:spacing w:line="360" w:lineRule="auto" w:after="100"/>
        <w:ind w:firstLine="420"/>
        <w:jc w:val="both"/>
      </w:pPr>
      <w:r>
        <w:rPr>
          <w:rFonts w:ascii="Arial" w:hAnsi="Arial" w:eastAsia="宋体"/>
          <w:color w:val="222222"/>
          <w:sz w:val="21"/>
        </w:rPr>
        <w:t>平台从教务课表、教室预约、校园统一身份和后勤工单系统获取必要数据。时序数据库保存原始测点，规则引擎识别空置用电和异常功率，数字孪生维护空间设备关系。驾驶舱按校区、楼栋和教室逐级下钻，管理人员可查看能耗、设备状态、告警和节能量，但远程控制必须经过角色权限和操作审计。</w:t>
      </w:r>
    </w:p>
    <w:p>
      <w:pPr>
        <w:pStyle w:val="Heading2"/>
        <w:keepNext/>
        <w:spacing w:before="140" w:after="100"/>
      </w:pPr>
      <w:r>
        <w:rPr>
          <w:rFonts w:ascii="Arial" w:hAnsi="Arial" w:eastAsia="微软雅黑"/>
          <w:b/>
          <w:color w:val="000000"/>
          <w:sz w:val="24"/>
        </w:rPr>
        <w:t>4 典型设备配置</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val="true"/>
        </w:trPr>
        <w:tc>
          <w:tcPr>
            <w:tcW w:type="dxa" w:w="136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位置</w:t>
            </w:r>
          </w:p>
        </w:tc>
        <w:tc>
          <w:tcPr>
            <w:tcW w:type="dxa" w:w="29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设备</w:t>
            </w:r>
          </w:p>
        </w:tc>
        <w:tc>
          <w:tcPr>
            <w:tcW w:type="dxa" w:w="260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主要数据或动作</w:t>
            </w:r>
          </w:p>
        </w:tc>
        <w:tc>
          <w:tcPr>
            <w:tcW w:type="dxa" w:w="170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建议数量</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教室配电箱</w:t>
            </w:r>
          </w:p>
        </w:tc>
        <w:tc>
          <w:tcPr>
            <w:tcW w:type="dxa" w:w="29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多功能远传电表  智能保护装置  接触器</w:t>
            </w:r>
          </w:p>
        </w:tc>
        <w:tc>
          <w:tcPr>
            <w:tcW w:type="dxa" w:w="260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电量功率  保护状态  回路控制</w:t>
            </w:r>
          </w:p>
        </w:tc>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 套每室</w:t>
            </w:r>
          </w:p>
        </w:tc>
      </w:tr>
      <w:tr>
        <w:trPr>
          <w:cantSplit w:val="true"/>
        </w:trPr>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教室顶棚</w:t>
            </w:r>
          </w:p>
        </w:tc>
        <w:tc>
          <w:tcPr>
            <w:tcW w:type="dxa" w:w="29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复合占用传感器  照度传感器</w:t>
            </w:r>
          </w:p>
        </w:tc>
        <w:tc>
          <w:tcPr>
            <w:tcW w:type="dxa" w:w="260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占用  光照</w:t>
            </w:r>
          </w:p>
        </w:tc>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 至 3 组每室</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教室墙面</w:t>
            </w:r>
          </w:p>
        </w:tc>
        <w:tc>
          <w:tcPr>
            <w:tcW w:type="dxa" w:w="29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温湿度与二氧化碳传感器</w:t>
            </w:r>
          </w:p>
        </w:tc>
        <w:tc>
          <w:tcPr>
            <w:tcW w:type="dxa" w:w="260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环境与舒适度</w:t>
            </w:r>
          </w:p>
        </w:tc>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 组每室</w:t>
            </w:r>
          </w:p>
        </w:tc>
      </w:tr>
      <w:tr>
        <w:trPr>
          <w:cantSplit w:val="true"/>
        </w:trPr>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空调系统</w:t>
            </w:r>
          </w:p>
        </w:tc>
        <w:tc>
          <w:tcPr>
            <w:tcW w:type="dxa" w:w="29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协议网关或干接点模块</w:t>
            </w:r>
          </w:p>
        </w:tc>
        <w:tc>
          <w:tcPr>
            <w:tcW w:type="dxa" w:w="260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启停  模式  温度  故障</w:t>
            </w:r>
          </w:p>
        </w:tc>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按空调系统配置</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弱电间</w:t>
            </w:r>
          </w:p>
        </w:tc>
        <w:tc>
          <w:tcPr>
            <w:tcW w:type="dxa" w:w="29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DDC 或边缘控制器  网关</w:t>
            </w:r>
          </w:p>
        </w:tc>
        <w:tc>
          <w:tcPr>
            <w:tcW w:type="dxa" w:w="260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本地逻辑  缓存  协议转换</w:t>
            </w:r>
          </w:p>
        </w:tc>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每楼层或每楼栋</w:t>
            </w:r>
          </w:p>
        </w:tc>
      </w:tr>
      <w:tr>
        <w:trPr>
          <w:cantSplit w:val="true"/>
        </w:trPr>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数据中心</w:t>
            </w:r>
          </w:p>
        </w:tc>
        <w:tc>
          <w:tcPr>
            <w:tcW w:type="dxa" w:w="29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应用服务器  时序库  备份</w:t>
            </w:r>
          </w:p>
        </w:tc>
        <w:tc>
          <w:tcPr>
            <w:tcW w:type="dxa" w:w="260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监控  分析  工单  报表</w:t>
            </w:r>
          </w:p>
        </w:tc>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可复用学校云平台</w:t>
            </w:r>
          </w:p>
        </w:tc>
      </w:tr>
    </w:tbl>
    <w:p>
      <w:pPr>
        <w:spacing w:after="20"/>
      </w:pPr>
    </w:p>
    <w:p>
      <w:pPr>
        <w:pStyle w:val="Heading2"/>
        <w:keepNext/>
        <w:spacing w:before="140" w:after="100"/>
      </w:pPr>
      <w:r>
        <w:rPr>
          <w:rFonts w:ascii="Arial" w:hAnsi="Arial" w:eastAsia="微软雅黑"/>
          <w:b/>
          <w:color w:val="000000"/>
          <w:sz w:val="24"/>
        </w:rPr>
        <w:t>5 计量拓扑</w:t>
      </w:r>
    </w:p>
    <w:p>
      <w:pPr>
        <w:spacing w:line="360" w:lineRule="auto" w:after="100"/>
        <w:ind w:firstLine="420"/>
        <w:jc w:val="both"/>
      </w:pPr>
      <w:r>
        <w:rPr>
          <w:rFonts w:ascii="Arial" w:hAnsi="Arial" w:eastAsia="宋体"/>
          <w:color w:val="222222"/>
          <w:sz w:val="21"/>
        </w:rPr>
        <w:t>计量采用校区总表、楼栋总表、楼层分表、教室或设备分表的层级结构。每级电量应满足近似平衡，楼栋下级表之和与楼栋总表的差额用于识别未计量负荷、线路损耗和数据缺失。高校节能监管导则把电表、网关、管理平台和数据中心定义为核心组成，并强调分类分项统计、报表、备份和网络维护[5][6]。本方案在此基础上增加教室级控制和数字孪生对象关系。</w:t>
      </w:r>
    </w:p>
    <w:p>
      <w:pPr>
        <w:pStyle w:val="Heading2"/>
        <w:keepNext/>
        <w:spacing w:before="140" w:after="100"/>
      </w:pPr>
      <w:r>
        <w:rPr>
          <w:rFonts w:ascii="Arial" w:hAnsi="Arial" w:eastAsia="微软雅黑"/>
          <w:b/>
          <w:color w:val="000000"/>
          <w:sz w:val="24"/>
        </w:rPr>
        <w:t>6 与智能断路器的边界</w:t>
      </w:r>
    </w:p>
    <w:p>
      <w:pPr>
        <w:spacing w:line="360" w:lineRule="auto" w:after="100"/>
        <w:ind w:firstLine="420"/>
        <w:jc w:val="both"/>
      </w:pPr>
      <w:r>
        <w:rPr>
          <w:rFonts w:ascii="Arial" w:hAnsi="Arial" w:eastAsia="宋体"/>
          <w:color w:val="222222"/>
          <w:sz w:val="21"/>
        </w:rPr>
        <w:t>智能断路器的首要功能仍是电路保护。远程分合闸只用于授权隔离、非频繁负荷切换和故障处置。照明和风扇的日常启停使用额定寿命满足频繁操作的接触器或继电器；空调使用设备控制接口完成压缩机保护停机。建筑电气改造应符合 GB 55024-2022 等现行强制性工程建设规范，并由具备相应资质的设计和施工单位完成[8]。</w:t>
      </w:r>
    </w:p>
    <w:p>
      <w:pPr>
        <w:pStyle w:val="Heading1"/>
        <w:keepNext/>
        <w:spacing w:before="200" w:after="100"/>
      </w:pPr>
      <w:r>
        <w:rPr>
          <w:rFonts w:ascii="Arial" w:hAnsi="Arial" w:eastAsia="微软雅黑"/>
          <w:b/>
          <w:color w:val="000000"/>
          <w:sz w:val="30"/>
        </w:rPr>
        <w:t>五 教室自动控制策略</w:t>
      </w:r>
    </w:p>
    <w:p>
      <w:pPr>
        <w:keepNext/>
        <w:jc w:val="center"/>
      </w:pPr>
      <w:r>
        <w:drawing>
          <wp:inline xmlns:a="http://schemas.openxmlformats.org/drawingml/2006/main" xmlns:pic="http://schemas.openxmlformats.org/drawingml/2006/picture">
            <wp:extent cx="6172200" cy="3410953"/>
            <wp:docPr id="3" name="Picture 3" descr="图 3  单间教室自动控制流程" title="图 3  单间教室自动控制流程"/>
            <wp:cNvGraphicFramePr>
              <a:graphicFrameLocks noChangeAspect="1"/>
            </wp:cNvGraphicFramePr>
            <a:graphic>
              <a:graphicData uri="http://schemas.openxmlformats.org/drawingml/2006/picture">
                <pic:pic>
                  <pic:nvPicPr>
                    <pic:cNvPr id="0" name="control_flow.png"/>
                    <pic:cNvPicPr/>
                  </pic:nvPicPr>
                  <pic:blipFill>
                    <a:blip r:embed="rId13"/>
                    <a:stretch>
                      <a:fillRect/>
                    </a:stretch>
                  </pic:blipFill>
                  <pic:spPr>
                    <a:xfrm>
                      <a:off x="0" y="0"/>
                      <a:ext cx="6172200" cy="3410953"/>
                    </a:xfrm>
                    <a:prstGeom prst="rect"/>
                  </pic:spPr>
                </pic:pic>
              </a:graphicData>
            </a:graphic>
          </wp:inline>
        </w:drawing>
      </w:r>
    </w:p>
    <w:p>
      <w:pPr>
        <w:spacing w:before="60" w:after="140"/>
        <w:jc w:val="center"/>
      </w:pPr>
      <w:r>
        <w:rPr>
          <w:rFonts w:ascii="Arial" w:hAnsi="Arial" w:eastAsia="宋体"/>
          <w:color w:val="5C6773"/>
          <w:sz w:val="18"/>
        </w:rPr>
        <w:t>图 3  单间教室自动控制流程</w:t>
      </w:r>
    </w:p>
    <w:p>
      <w:pPr>
        <w:pStyle w:val="Heading2"/>
        <w:keepNext/>
        <w:spacing w:before="140" w:after="100"/>
      </w:pPr>
      <w:r>
        <w:rPr>
          <w:rFonts w:ascii="Arial" w:hAnsi="Arial" w:eastAsia="微软雅黑"/>
          <w:b/>
          <w:color w:val="000000"/>
          <w:sz w:val="24"/>
        </w:rPr>
        <w:t>1 控制优先级</w:t>
      </w:r>
    </w:p>
    <w:p>
      <w:pPr>
        <w:spacing w:line="360" w:lineRule="auto" w:after="100"/>
        <w:ind w:firstLine="420"/>
        <w:jc w:val="both"/>
      </w:pPr>
      <w:r>
        <w:rPr>
          <w:rFonts w:ascii="Arial" w:hAnsi="Arial" w:eastAsia="宋体"/>
          <w:color w:val="222222"/>
          <w:sz w:val="21"/>
        </w:rPr>
        <w:t>控制优先级从高到低为消防和电气保护、现场紧急停止、现场手动操作、经授权的远程操作、自动策略。任何自动命令不得绕过保护装置。系统采用“自动关  谨慎开”的原则，自动关闭以确认空置为依据，自动开启需要课表或预约与占用信号共同成立。</w:t>
      </w:r>
    </w:p>
    <w:p>
      <w:r>
        <w:br w:type="page"/>
      </w:r>
    </w:p>
    <w:p>
      <w:pPr>
        <w:pStyle w:val="Heading2"/>
        <w:keepNext/>
        <w:spacing w:before="140" w:after="100"/>
      </w:pPr>
      <w:r>
        <w:rPr>
          <w:rFonts w:ascii="Arial" w:hAnsi="Arial" w:eastAsia="微软雅黑"/>
          <w:b/>
          <w:color w:val="000000"/>
          <w:sz w:val="24"/>
        </w:rPr>
        <w:t>2 典型场景规则</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13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场景</w:t>
            </w:r>
          </w:p>
        </w:tc>
        <w:tc>
          <w:tcPr>
            <w:tcW w:type="dxa" w:w="283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判定条件</w:t>
            </w:r>
          </w:p>
        </w:tc>
        <w:tc>
          <w:tcPr>
            <w:tcW w:type="dxa" w:w="46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控制动作</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课前</w:t>
            </w:r>
          </w:p>
        </w:tc>
        <w:tc>
          <w:tcPr>
            <w:tcW w:type="dxa" w:w="283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课表开始前 15 分钟且检测到占用</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照明按照度分区开启  空调在温度越限时预启  多媒体由教师手动启用</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上课</w:t>
            </w:r>
          </w:p>
        </w:tc>
        <w:tc>
          <w:tcPr>
            <w:tcW w:type="dxa" w:w="283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课表有效且有人</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维持教学状态  制冷设定不低于 26 摄氏度  制热不高于 20 摄氏度  监测门窗与二氧化碳</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短课间</w:t>
            </w:r>
          </w:p>
        </w:tc>
        <w:tc>
          <w:tcPr>
            <w:tcW w:type="dxa" w:w="283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间隔不超过 20 分钟</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照明降档  风扇按占用  空调进入回差或节能模式  避免频繁启停</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长空档</w:t>
            </w:r>
          </w:p>
        </w:tc>
        <w:tc>
          <w:tcPr>
            <w:tcW w:type="dxa" w:w="283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无下一场预约或间隔超过 30 分钟</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照明 5 至 10 分钟后关闭  风扇关闭  空调正常停机  多媒体进入待机或关闭</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自习</w:t>
            </w:r>
          </w:p>
        </w:tc>
        <w:tc>
          <w:tcPr>
            <w:tcW w:type="dxa" w:w="283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无课表但有人且在开放时段</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允许现场开启  无人延时关闭  超出开放时段需管理员授权</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闭馆</w:t>
            </w:r>
          </w:p>
        </w:tc>
        <w:tc>
          <w:tcPr>
            <w:tcW w:type="dxa" w:w="283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到达楼栋关闭时间</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扫描仍有功率的非消防回路  二次确认后关闭并记录  异常生成工单</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故障</w:t>
            </w:r>
          </w:p>
        </w:tc>
        <w:tc>
          <w:tcPr>
            <w:tcW w:type="dxa" w:w="283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传感器冲突  通信中断或功率异常</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保持安全状态  禁止自动开启  允许现场控制  上报告警</w:t>
            </w:r>
          </w:p>
        </w:tc>
      </w:tr>
    </w:tbl>
    <w:p>
      <w:pPr>
        <w:spacing w:after="20"/>
      </w:pPr>
    </w:p>
    <w:p>
      <w:pPr>
        <w:pStyle w:val="Heading2"/>
        <w:keepNext/>
        <w:spacing w:before="140" w:after="100"/>
      </w:pPr>
      <w:r>
        <w:rPr>
          <w:rFonts w:ascii="Arial" w:hAnsi="Arial" w:eastAsia="微软雅黑"/>
          <w:b/>
          <w:color w:val="000000"/>
          <w:sz w:val="24"/>
        </w:rPr>
        <w:t>3 误关机防护</w:t>
      </w:r>
    </w:p>
    <w:p>
      <w:pPr>
        <w:pStyle w:val="ListBullet"/>
        <w:spacing w:line="300" w:lineRule="auto" w:after="60"/>
        <w:ind w:left="397" w:hanging="198"/>
      </w:pPr>
      <w:r>
        <w:rPr>
          <w:rFonts w:ascii="Arial" w:hAnsi="Arial" w:eastAsia="宋体"/>
          <w:color w:val="222222"/>
          <w:sz w:val="20"/>
        </w:rPr>
        <w:t>占用判定采用至少两类信息组合，例如课表加占用传感器、门禁事件加微动检测，单一传感器不直接触发关键设备停机。</w:t>
      </w:r>
    </w:p>
    <w:p>
      <w:pPr>
        <w:pStyle w:val="ListBullet"/>
        <w:spacing w:line="300" w:lineRule="auto" w:after="60"/>
        <w:ind w:left="397" w:hanging="198"/>
      </w:pPr>
      <w:r>
        <w:rPr>
          <w:rFonts w:ascii="Arial" w:hAnsi="Arial" w:eastAsia="宋体"/>
          <w:color w:val="222222"/>
          <w:sz w:val="20"/>
        </w:rPr>
        <w:t>坐姿学习和考试时人体动作较少，大教室优先采用复合或多点传感器，并在试点期记录误判。</w:t>
      </w:r>
    </w:p>
    <w:p>
      <w:pPr>
        <w:pStyle w:val="ListBullet"/>
        <w:spacing w:line="300" w:lineRule="auto" w:after="60"/>
        <w:ind w:left="397" w:hanging="198"/>
      </w:pPr>
      <w:r>
        <w:rPr>
          <w:rFonts w:ascii="Arial" w:hAnsi="Arial" w:eastAsia="宋体"/>
          <w:color w:val="222222"/>
          <w:sz w:val="20"/>
        </w:rPr>
        <w:t>关闭前进行声光提示或面板倒计时，师生可按键续时。人工续时需记录，不要求输入个人身份。</w:t>
      </w:r>
    </w:p>
    <w:p>
      <w:pPr>
        <w:pStyle w:val="ListBullet"/>
        <w:spacing w:line="300" w:lineRule="auto" w:after="60"/>
        <w:ind w:left="397" w:hanging="198"/>
      </w:pPr>
      <w:r>
        <w:rPr>
          <w:rFonts w:ascii="Arial" w:hAnsi="Arial" w:eastAsia="宋体"/>
          <w:color w:val="222222"/>
          <w:sz w:val="20"/>
        </w:rPr>
        <w:t>空调设置最小运行和最小停机时间，正常停机后再由保护装置隔离，避免压缩机频繁启动。</w:t>
      </w:r>
    </w:p>
    <w:p>
      <w:pPr>
        <w:pStyle w:val="ListBullet"/>
        <w:spacing w:line="300" w:lineRule="auto" w:after="60"/>
        <w:ind w:left="397" w:hanging="198"/>
      </w:pPr>
      <w:r>
        <w:rPr>
          <w:rFonts w:ascii="Arial" w:hAnsi="Arial" w:eastAsia="宋体"/>
          <w:color w:val="222222"/>
          <w:sz w:val="20"/>
        </w:rPr>
        <w:t>设备反馈与电表功率交叉验证。若发出关闭命令后功率仍高于阈值，平台不重复高频下发命令，而是告警并生成工单。</w:t>
      </w:r>
    </w:p>
    <w:p>
      <w:pPr>
        <w:pStyle w:val="Heading2"/>
        <w:keepNext/>
        <w:spacing w:before="140" w:after="100"/>
      </w:pPr>
      <w:r>
        <w:rPr>
          <w:rFonts w:ascii="Arial" w:hAnsi="Arial" w:eastAsia="微软雅黑"/>
          <w:b/>
          <w:color w:val="000000"/>
          <w:sz w:val="24"/>
        </w:rPr>
        <w:t>4 照明控制</w:t>
      </w:r>
    </w:p>
    <w:p>
      <w:pPr>
        <w:spacing w:line="360" w:lineRule="auto" w:after="100"/>
        <w:ind w:firstLine="420"/>
        <w:jc w:val="both"/>
      </w:pPr>
      <w:r>
        <w:rPr>
          <w:rFonts w:ascii="Arial" w:hAnsi="Arial" w:eastAsia="宋体"/>
          <w:color w:val="222222"/>
          <w:sz w:val="21"/>
        </w:rPr>
        <w:t>照明按讲台、窗侧和内侧分区。有人时根据照度只补足需要的区域，无人时延时关闭。美国能源部面向学校的照明指南建议根据空间选择占用或空置控制，并强调传感器应覆盖入口与工作区、避开空调送风口等误触发位置[11]。其资料汇总的教室照明占用控制节能范围为 10% 至 75%，但跨度很大，本报告只按照明电量的 12% 作为可避免浪费，不直接照搬案例上限[12]。</w:t>
      </w:r>
    </w:p>
    <w:p>
      <w:r>
        <w:br w:type="page"/>
      </w:r>
    </w:p>
    <w:p>
      <w:pPr>
        <w:pStyle w:val="Heading1"/>
        <w:keepNext/>
        <w:spacing w:before="200" w:after="100"/>
      </w:pPr>
      <w:r>
        <w:rPr>
          <w:rFonts w:ascii="Arial" w:hAnsi="Arial" w:eastAsia="微软雅黑"/>
          <w:b/>
          <w:color w:val="000000"/>
          <w:sz w:val="30"/>
        </w:rPr>
        <w:t>六 信息平台与数字孪生</w:t>
      </w:r>
    </w:p>
    <w:p>
      <w:pPr>
        <w:keepNext/>
        <w:jc w:val="center"/>
      </w:pPr>
      <w:r>
        <w:drawing>
          <wp:inline xmlns:a="http://schemas.openxmlformats.org/drawingml/2006/main" xmlns:pic="http://schemas.openxmlformats.org/drawingml/2006/picture">
            <wp:extent cx="5989320" cy="3260852"/>
            <wp:docPr id="4" name="Picture 4" descr="图 4  数字孪生模型的数据闭环" title="图 4  数字孪生模型的数据闭环"/>
            <wp:cNvGraphicFramePr>
              <a:graphicFrameLocks noChangeAspect="1"/>
            </wp:cNvGraphicFramePr>
            <a:graphic>
              <a:graphicData uri="http://schemas.openxmlformats.org/drawingml/2006/picture">
                <pic:pic>
                  <pic:nvPicPr>
                    <pic:cNvPr id="0" name="digital_twin_loop.png"/>
                    <pic:cNvPicPr/>
                  </pic:nvPicPr>
                  <pic:blipFill>
                    <a:blip r:embed="rId14"/>
                    <a:stretch>
                      <a:fillRect/>
                    </a:stretch>
                  </pic:blipFill>
                  <pic:spPr>
                    <a:xfrm>
                      <a:off x="0" y="0"/>
                      <a:ext cx="5989320" cy="3260852"/>
                    </a:xfrm>
                    <a:prstGeom prst="rect"/>
                  </pic:spPr>
                </pic:pic>
              </a:graphicData>
            </a:graphic>
          </wp:inline>
        </w:drawing>
      </w:r>
    </w:p>
    <w:p>
      <w:pPr>
        <w:spacing w:before="60" w:after="140"/>
        <w:jc w:val="center"/>
      </w:pPr>
      <w:r>
        <w:rPr>
          <w:rFonts w:ascii="Arial" w:hAnsi="Arial" w:eastAsia="宋体"/>
          <w:color w:val="5C6773"/>
          <w:sz w:val="18"/>
        </w:rPr>
        <w:t>图 4  数字孪生模型的数据闭环</w:t>
      </w:r>
    </w:p>
    <w:p>
      <w:pPr>
        <w:pStyle w:val="Heading2"/>
        <w:keepNext/>
        <w:spacing w:before="140" w:after="100"/>
      </w:pPr>
      <w:r>
        <w:rPr>
          <w:rFonts w:ascii="Arial" w:hAnsi="Arial" w:eastAsia="微软雅黑"/>
          <w:b/>
          <w:color w:val="000000"/>
          <w:sz w:val="24"/>
        </w:rPr>
        <w:t>1 对象模型</w:t>
      </w:r>
    </w:p>
    <w:p>
      <w:pPr>
        <w:spacing w:line="360" w:lineRule="auto" w:after="100"/>
        <w:ind w:firstLine="420"/>
        <w:jc w:val="both"/>
      </w:pPr>
      <w:r>
        <w:rPr>
          <w:rFonts w:ascii="Arial" w:hAnsi="Arial" w:eastAsia="宋体"/>
          <w:color w:val="222222"/>
          <w:sz w:val="21"/>
        </w:rPr>
        <w:t>数字孪生不是三维展示的同义词。本方案首先建立可计算的对象关系：校区包含楼栋，楼栋包含楼层，楼层包含教室；教室关联设备、回路、电表、传感器、课表、控制策略和工单。对象模型使管理人员能从异常电量追溯到具体回路和设备，也能在设备更换后保留历史记录。是否制作三维模型可按实际需要决定，不作为一期节能的前置条件。</w:t>
      </w:r>
    </w:p>
    <w:p>
      <w:pPr>
        <w:pStyle w:val="Heading2"/>
        <w:keepNext/>
        <w:spacing w:before="140" w:after="100"/>
      </w:pPr>
      <w:r>
        <w:rPr>
          <w:rFonts w:ascii="Arial" w:hAnsi="Arial" w:eastAsia="微软雅黑"/>
          <w:b/>
          <w:color w:val="000000"/>
          <w:sz w:val="24"/>
        </w:rPr>
        <w:t>2 数据与功能</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36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模块</w:t>
            </w:r>
          </w:p>
        </w:tc>
        <w:tc>
          <w:tcPr>
            <w:tcW w:type="dxa" w:w="4195"/>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内容</w:t>
            </w:r>
          </w:p>
        </w:tc>
        <w:tc>
          <w:tcPr>
            <w:tcW w:type="dxa" w:w="306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实施要点</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实时监控</w:t>
            </w:r>
          </w:p>
        </w:tc>
        <w:tc>
          <w:tcPr>
            <w:tcW w:type="dxa" w:w="4195"/>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功率  电量  电流电压  占用  温湿度  照度  二氧化碳  设备状态</w:t>
            </w:r>
          </w:p>
        </w:tc>
        <w:tc>
          <w:tcPr>
            <w:tcW w:type="dxa" w:w="306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1 至 5 分钟采集  关键告警秒级</w:t>
            </w:r>
          </w:p>
        </w:tc>
      </w:tr>
      <w:tr>
        <w:trPr>
          <w:cantSplit w:val="true"/>
        </w:trPr>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异常识别</w:t>
            </w:r>
          </w:p>
        </w:tc>
        <w:tc>
          <w:tcPr>
            <w:tcW w:type="dxa" w:w="4195"/>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无人有功率  非开放时段用电  同类教室偏高  功率骤增  控制无反馈</w:t>
            </w:r>
          </w:p>
        </w:tc>
        <w:tc>
          <w:tcPr>
            <w:tcW w:type="dxa" w:w="306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规则先行  稳定后引入模型</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节能分析</w:t>
            </w:r>
          </w:p>
        </w:tc>
        <w:tc>
          <w:tcPr>
            <w:tcW w:type="dxa" w:w="4195"/>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基线  同比环比  按课时归一化  按天气校正  节能量与碳减排</w:t>
            </w:r>
          </w:p>
        </w:tc>
        <w:tc>
          <w:tcPr>
            <w:tcW w:type="dxa" w:w="306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保留原始数据与算法版本</w:t>
            </w:r>
          </w:p>
        </w:tc>
      </w:tr>
      <w:tr>
        <w:trPr>
          <w:cantSplit w:val="true"/>
        </w:trPr>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运维管理</w:t>
            </w:r>
          </w:p>
        </w:tc>
        <w:tc>
          <w:tcPr>
            <w:tcW w:type="dxa" w:w="4195"/>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告警确认  工单派发  到场处理  复核关闭  设备寿命</w:t>
            </w:r>
          </w:p>
        </w:tc>
        <w:tc>
          <w:tcPr>
            <w:tcW w:type="dxa" w:w="306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与后勤工单系统对接</w:t>
            </w:r>
          </w:p>
        </w:tc>
      </w:tr>
      <w:tr>
        <w:trPr>
          <w:cantSplit w:val="true"/>
        </w:trPr>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信息发布</w:t>
            </w:r>
          </w:p>
        </w:tc>
        <w:tc>
          <w:tcPr>
            <w:tcW w:type="dxa" w:w="4195"/>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楼栋排名  月报  改造前后对比  典型异常</w:t>
            </w:r>
          </w:p>
        </w:tc>
        <w:tc>
          <w:tcPr>
            <w:tcW w:type="dxa" w:w="306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公开汇总数据  不公开个人轨迹</w:t>
            </w:r>
          </w:p>
        </w:tc>
      </w:tr>
    </w:tbl>
    <w:p>
      <w:pPr>
        <w:spacing w:after="20"/>
      </w:pPr>
    </w:p>
    <w:p>
      <w:pPr>
        <w:pStyle w:val="Heading2"/>
        <w:keepNext/>
        <w:spacing w:before="140" w:after="100"/>
      </w:pPr>
      <w:r>
        <w:rPr>
          <w:rFonts w:ascii="Arial" w:hAnsi="Arial" w:eastAsia="微软雅黑"/>
          <w:b/>
          <w:color w:val="000000"/>
          <w:sz w:val="24"/>
        </w:rPr>
        <w:t>3 关键算法</w:t>
      </w:r>
    </w:p>
    <w:p>
      <w:pPr>
        <w:spacing w:line="360" w:lineRule="auto" w:after="100"/>
        <w:ind w:firstLine="420"/>
        <w:jc w:val="both"/>
      </w:pPr>
      <w:r>
        <w:rPr>
          <w:rFonts w:ascii="Arial" w:hAnsi="Arial" w:eastAsia="宋体"/>
          <w:color w:val="222222"/>
          <w:sz w:val="21"/>
        </w:rPr>
        <w:t>第一阶段使用可解释规则，包括课表时间窗、占用持续时间、功率阈值和同类教室分位数。积累一个完整学年数据后，再训练负荷预测和故障识别模型。模型输出只用于建议或低风险调整，涉及远程断电的动作仍由确定性规则和权限流程控制。</w:t>
      </w:r>
    </w:p>
    <w:p>
      <w:pPr>
        <w:spacing w:line="360" w:lineRule="auto" w:after="100"/>
        <w:ind w:firstLine="420"/>
        <w:jc w:val="both"/>
      </w:pPr>
      <w:r>
        <w:rPr>
          <w:rFonts w:ascii="Arial" w:hAnsi="Arial" w:eastAsia="宋体"/>
          <w:color w:val="222222"/>
          <w:sz w:val="21"/>
        </w:rPr>
        <w:t>基线应按课时数、室外温度和开放时长归一化。节能量等于经校正的基线用电减实施后用电，再扣除新增设备自身用电。所有月报注明数据完整率和估算补点比例，避免用缺失数据制造虚假节能。</w:t>
      </w:r>
    </w:p>
    <w:p>
      <w:pPr>
        <w:pStyle w:val="Heading1"/>
        <w:keepNext/>
        <w:spacing w:before="200" w:after="100"/>
      </w:pPr>
      <w:r>
        <w:rPr>
          <w:rFonts w:ascii="Arial" w:hAnsi="Arial" w:eastAsia="微软雅黑"/>
          <w:b/>
          <w:color w:val="000000"/>
          <w:sz w:val="30"/>
        </w:rPr>
        <w:t>七 管理机制与运行制度</w:t>
      </w:r>
    </w:p>
    <w:p>
      <w:pPr>
        <w:pStyle w:val="Heading2"/>
        <w:keepNext/>
        <w:spacing w:before="140" w:after="100"/>
      </w:pPr>
      <w:r>
        <w:rPr>
          <w:rFonts w:ascii="Arial" w:hAnsi="Arial" w:eastAsia="微软雅黑"/>
          <w:b/>
          <w:color w:val="000000"/>
          <w:sz w:val="24"/>
        </w:rPr>
        <w:t>1 责任分工</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204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责任主体</w:t>
            </w:r>
          </w:p>
        </w:tc>
        <w:tc>
          <w:tcPr>
            <w:tcW w:type="dxa" w:w="657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主要职责</w:t>
            </w:r>
          </w:p>
        </w:tc>
      </w:tr>
      <w:tr>
        <w:trPr>
          <w:cantSplit w:val="true"/>
        </w:trPr>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后勤保障部门</w:t>
            </w:r>
          </w:p>
        </w:tc>
        <w:tc>
          <w:tcPr>
            <w:tcW w:type="dxa" w:w="657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牵头能源管理  制定策略  处理告警  审核节能量  维护台账</w:t>
            </w:r>
          </w:p>
        </w:tc>
      </w:tr>
      <w:tr>
        <w:trPr>
          <w:cantSplit w:val="true"/>
        </w:trPr>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信息化部门</w:t>
            </w:r>
          </w:p>
        </w:tc>
        <w:tc>
          <w:tcPr>
            <w:tcW w:type="dxa" w:w="657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网络与平台运行  接口管理  账号权限  日志审计  备份恢复</w:t>
            </w:r>
          </w:p>
        </w:tc>
      </w:tr>
      <w:tr>
        <w:trPr>
          <w:cantSplit w:val="true"/>
        </w:trPr>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教务部门</w:t>
            </w:r>
          </w:p>
        </w:tc>
        <w:tc>
          <w:tcPr>
            <w:tcW w:type="dxa" w:w="657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提供课表与调停课数据  明确开放时段  协调考试等特殊场景</w:t>
            </w:r>
          </w:p>
        </w:tc>
      </w:tr>
      <w:tr>
        <w:trPr>
          <w:cantSplit w:val="true"/>
        </w:trPr>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学院与物业</w:t>
            </w:r>
          </w:p>
        </w:tc>
        <w:tc>
          <w:tcPr>
            <w:tcW w:type="dxa" w:w="657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现场巡查  人工复核  工单处理  师生反馈  异常升级</w:t>
            </w:r>
          </w:p>
        </w:tc>
      </w:tr>
      <w:tr>
        <w:trPr>
          <w:cantSplit w:val="true"/>
        </w:trPr>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电气维保单位</w:t>
            </w:r>
          </w:p>
        </w:tc>
        <w:tc>
          <w:tcPr>
            <w:tcW w:type="dxa" w:w="657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定期校验  保护试验  设备维修  施工档案  安全培训</w:t>
            </w:r>
          </w:p>
        </w:tc>
      </w:tr>
      <w:tr>
        <w:trPr>
          <w:cantSplit w:val="true"/>
        </w:trPr>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审计或节能工作组</w:t>
            </w:r>
          </w:p>
        </w:tc>
        <w:tc>
          <w:tcPr>
            <w:tcW w:type="dxa" w:w="657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抽查数据  审核基线  评价年度目标  监督采购与验收</w:t>
            </w:r>
          </w:p>
        </w:tc>
      </w:tr>
    </w:tbl>
    <w:p>
      <w:pPr>
        <w:spacing w:after="20"/>
      </w:pPr>
    </w:p>
    <w:p>
      <w:pPr>
        <w:pStyle w:val="Heading2"/>
        <w:keepNext/>
        <w:spacing w:before="140" w:after="100"/>
      </w:pPr>
      <w:r>
        <w:rPr>
          <w:rFonts w:ascii="Arial" w:hAnsi="Arial" w:eastAsia="微软雅黑"/>
          <w:b/>
          <w:color w:val="000000"/>
          <w:sz w:val="24"/>
        </w:rPr>
        <w:t>2 制度安排</w:t>
      </w:r>
    </w:p>
    <w:p>
      <w:pPr>
        <w:pStyle w:val="ListBullet"/>
        <w:spacing w:line="300" w:lineRule="auto" w:after="60"/>
        <w:ind w:left="397" w:hanging="198"/>
      </w:pPr>
      <w:r>
        <w:rPr>
          <w:rFonts w:ascii="Arial" w:hAnsi="Arial" w:eastAsia="宋体"/>
          <w:color w:val="222222"/>
          <w:sz w:val="20"/>
        </w:rPr>
        <w:t>建立月度能耗例会。查看数据完整率、异常前十、工单关闭率和同类教室单位课时电耗。</w:t>
      </w:r>
    </w:p>
    <w:p>
      <w:pPr>
        <w:pStyle w:val="ListBullet"/>
        <w:spacing w:line="300" w:lineRule="auto" w:after="60"/>
        <w:ind w:left="397" w:hanging="198"/>
      </w:pPr>
      <w:r>
        <w:rPr>
          <w:rFonts w:ascii="Arial" w:hAnsi="Arial" w:eastAsia="宋体"/>
          <w:color w:val="222222"/>
          <w:sz w:val="20"/>
        </w:rPr>
        <w:t>设置策略变更审批。控制阈值、开放时间和批量命令必须留存修改人、原因、生效范围和回退版本。</w:t>
      </w:r>
    </w:p>
    <w:p>
      <w:pPr>
        <w:pStyle w:val="ListBullet"/>
        <w:spacing w:line="300" w:lineRule="auto" w:after="60"/>
        <w:ind w:left="397" w:hanging="198"/>
      </w:pPr>
      <w:r>
        <w:rPr>
          <w:rFonts w:ascii="Arial" w:hAnsi="Arial" w:eastAsia="宋体"/>
          <w:color w:val="222222"/>
          <w:sz w:val="20"/>
        </w:rPr>
        <w:t>保留夜间巡查但改变重点。管理员由逐室关灯转为复核平台异常、处理无法自动关闭的设备和现场安全问题。</w:t>
      </w:r>
    </w:p>
    <w:p>
      <w:pPr>
        <w:pStyle w:val="ListBullet"/>
        <w:spacing w:line="300" w:lineRule="auto" w:after="60"/>
        <w:ind w:left="397" w:hanging="198"/>
      </w:pPr>
      <w:r>
        <w:rPr>
          <w:rFonts w:ascii="Arial" w:hAnsi="Arial" w:eastAsia="宋体"/>
          <w:color w:val="222222"/>
          <w:sz w:val="20"/>
        </w:rPr>
        <w:t>将节能评价与教学保障并列。若节能率提高但投诉或误关机上升，应先修正策略，不以牺牲教学体验换取数据。</w:t>
      </w:r>
    </w:p>
    <w:p>
      <w:pPr>
        <w:pStyle w:val="ListBullet"/>
        <w:spacing w:line="300" w:lineRule="auto" w:after="60"/>
        <w:ind w:left="397" w:hanging="198"/>
      </w:pPr>
      <w:r>
        <w:rPr>
          <w:rFonts w:ascii="Arial" w:hAnsi="Arial" w:eastAsia="宋体"/>
          <w:color w:val="222222"/>
          <w:sz w:val="20"/>
        </w:rPr>
        <w:t>每学年复核教室清单和设备变更，寒暑假执行专门策略，重大活动采用临时授权并在结束后自动失效。</w:t>
      </w:r>
    </w:p>
    <w:p>
      <w:r>
        <w:br w:type="page"/>
      </w:r>
    </w:p>
    <w:p>
      <w:pPr>
        <w:pStyle w:val="Heading1"/>
        <w:keepNext/>
        <w:spacing w:before="200" w:after="100"/>
      </w:pPr>
      <w:r>
        <w:rPr>
          <w:rFonts w:ascii="Arial" w:hAnsi="Arial" w:eastAsia="微软雅黑"/>
          <w:b/>
          <w:color w:val="000000"/>
          <w:sz w:val="30"/>
        </w:rPr>
        <w:t>八 电气安全与网络安全</w:t>
      </w:r>
    </w:p>
    <w:p>
      <w:pPr>
        <w:pStyle w:val="Heading2"/>
        <w:keepNext/>
        <w:spacing w:before="140" w:after="100"/>
      </w:pPr>
      <w:r>
        <w:rPr>
          <w:rFonts w:ascii="Arial" w:hAnsi="Arial" w:eastAsia="微软雅黑"/>
          <w:b/>
          <w:color w:val="000000"/>
          <w:sz w:val="24"/>
        </w:rPr>
        <w:t>1 电气安全</w:t>
      </w:r>
    </w:p>
    <w:p>
      <w:pPr>
        <w:spacing w:line="360" w:lineRule="auto" w:after="100"/>
        <w:ind w:firstLine="420"/>
        <w:jc w:val="both"/>
      </w:pPr>
      <w:r>
        <w:rPr>
          <w:rFonts w:ascii="Arial" w:hAnsi="Arial" w:eastAsia="宋体"/>
          <w:color w:val="222222"/>
          <w:sz w:val="21"/>
        </w:rPr>
        <w:t>设计和施工必须由具备资质的单位完成，校核原配电箱容量、导线截面、短路保护、剩余电流保护、接地和选择性配合。新增控制器不得削弱原有保护功能。消防应急照明、疏散指示和其他消防负荷应通过回路标识、权限和逻辑三重方式排除在节能控制之外。GB 55024-2022 为现行强制性工程建设规范，相关改造应以其及配套现行标准为最低要求[8]。</w:t>
      </w:r>
    </w:p>
    <w:p>
      <w:pPr>
        <w:spacing w:line="360" w:lineRule="auto" w:after="100"/>
        <w:ind w:firstLine="420"/>
        <w:jc w:val="both"/>
      </w:pPr>
      <w:r>
        <w:rPr>
          <w:rFonts w:ascii="Arial" w:hAnsi="Arial" w:eastAsia="宋体"/>
          <w:color w:val="222222"/>
          <w:sz w:val="21"/>
        </w:rPr>
        <w:t>控制柜应设置手动自动切换和急停或旁路措施。智能断路器的远程分闸功能默认关闭，仅对通过风险评估的非消防回路开放。批量控制采用分组、限流和间隔启动，避免多个空调同时启动造成冲击电流。</w:t>
      </w:r>
    </w:p>
    <w:p>
      <w:pPr>
        <w:pStyle w:val="Heading2"/>
        <w:keepNext/>
        <w:spacing w:before="140" w:after="100"/>
      </w:pPr>
      <w:r>
        <w:rPr>
          <w:rFonts w:ascii="Arial" w:hAnsi="Arial" w:eastAsia="微软雅黑"/>
          <w:b/>
          <w:color w:val="000000"/>
          <w:sz w:val="24"/>
        </w:rPr>
        <w:t>2 网络与数据安全</w:t>
      </w:r>
    </w:p>
    <w:p>
      <w:pPr>
        <w:pStyle w:val="ListBullet"/>
        <w:spacing w:line="300" w:lineRule="auto" w:after="60"/>
        <w:ind w:left="397" w:hanging="198"/>
      </w:pPr>
      <w:r>
        <w:rPr>
          <w:rFonts w:ascii="Arial" w:hAnsi="Arial" w:eastAsia="宋体"/>
          <w:color w:val="222222"/>
          <w:sz w:val="20"/>
        </w:rPr>
        <w:t>能源控制网络与办公网逻辑隔离，网关只开放必要的出站连接；现场设备不直接暴露在互联网。</w:t>
      </w:r>
    </w:p>
    <w:p>
      <w:pPr>
        <w:pStyle w:val="ListBullet"/>
        <w:spacing w:line="300" w:lineRule="auto" w:after="60"/>
        <w:ind w:left="397" w:hanging="198"/>
      </w:pPr>
      <w:r>
        <w:rPr>
          <w:rFonts w:ascii="Arial" w:hAnsi="Arial" w:eastAsia="宋体"/>
          <w:color w:val="222222"/>
          <w:sz w:val="20"/>
        </w:rPr>
        <w:t>使用学校统一身份认证和基于角色的权限，远程控制、策略修改和数据导出实行最小权限。</w:t>
      </w:r>
    </w:p>
    <w:p>
      <w:pPr>
        <w:pStyle w:val="ListBullet"/>
        <w:spacing w:line="300" w:lineRule="auto" w:after="60"/>
        <w:ind w:left="397" w:hanging="198"/>
      </w:pPr>
      <w:r>
        <w:rPr>
          <w:rFonts w:ascii="Arial" w:hAnsi="Arial" w:eastAsia="宋体"/>
          <w:color w:val="222222"/>
          <w:sz w:val="20"/>
        </w:rPr>
        <w:t>关键命令采用双人复核或二次确认，保存操作日志、设备日志和策略版本，日志留存期由学校制度确定。</w:t>
      </w:r>
    </w:p>
    <w:p>
      <w:pPr>
        <w:pStyle w:val="ListBullet"/>
        <w:spacing w:line="300" w:lineRule="auto" w:after="60"/>
        <w:ind w:left="397" w:hanging="198"/>
      </w:pPr>
      <w:r>
        <w:rPr>
          <w:rFonts w:ascii="Arial" w:hAnsi="Arial" w:eastAsia="宋体"/>
          <w:color w:val="222222"/>
          <w:sz w:val="20"/>
        </w:rPr>
        <w:t>网关与平台通信加密，设备证书和密钥定期轮换；默认口令必须在安装时更改。</w:t>
      </w:r>
    </w:p>
    <w:p>
      <w:pPr>
        <w:pStyle w:val="ListBullet"/>
        <w:spacing w:line="300" w:lineRule="auto" w:after="60"/>
        <w:ind w:left="397" w:hanging="198"/>
      </w:pPr>
      <w:r>
        <w:rPr>
          <w:rFonts w:ascii="Arial" w:hAnsi="Arial" w:eastAsia="宋体"/>
          <w:color w:val="222222"/>
          <w:sz w:val="20"/>
        </w:rPr>
        <w:t>平台按 GB/T 22239-2019 的要求开展定级、差距分析和相应安全建设，具体等级由学校依法确定[7]。</w:t>
      </w:r>
    </w:p>
    <w:p>
      <w:pPr>
        <w:pStyle w:val="ListBullet"/>
        <w:spacing w:line="300" w:lineRule="auto" w:after="60"/>
        <w:ind w:left="397" w:hanging="198"/>
      </w:pPr>
      <w:r>
        <w:rPr>
          <w:rFonts w:ascii="Arial" w:hAnsi="Arial" w:eastAsia="宋体"/>
          <w:color w:val="222222"/>
          <w:sz w:val="20"/>
        </w:rPr>
        <w:t>只收集节能所必需的数据。占用信息保存为房间级状态或人数，不形成学生个人轨迹。</w:t>
      </w:r>
    </w:p>
    <w:p>
      <w:pPr>
        <w:pStyle w:val="Heading2"/>
        <w:keepNext/>
        <w:spacing w:before="140" w:after="100"/>
      </w:pPr>
      <w:r>
        <w:rPr>
          <w:rFonts w:ascii="Arial" w:hAnsi="Arial" w:eastAsia="微软雅黑"/>
          <w:b/>
          <w:color w:val="000000"/>
          <w:sz w:val="24"/>
        </w:rPr>
        <w:t>3 故障降级</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181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故障</w:t>
            </w:r>
          </w:p>
        </w:tc>
        <w:tc>
          <w:tcPr>
            <w:tcW w:type="dxa" w:w="68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降级策略</w:t>
            </w:r>
          </w:p>
        </w:tc>
      </w:tr>
      <w:tr>
        <w:trPr>
          <w:cantSplit w:val="true"/>
        </w:trPr>
        <w:tc>
          <w:tcPr>
            <w:tcW w:type="dxa" w:w="181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平台故障</w:t>
            </w:r>
          </w:p>
        </w:tc>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DDC 按本地缓存策略运行  现场控制不受影响  网关缓存数据</w:t>
            </w:r>
          </w:p>
        </w:tc>
      </w:tr>
      <w:tr>
        <w:trPr>
          <w:cantSplit w:val="true"/>
        </w:trPr>
        <w:tc>
          <w:tcPr>
            <w:tcW w:type="dxa" w:w="181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网络中断</w:t>
            </w:r>
          </w:p>
        </w:tc>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禁止新增远程命令  保持本地时钟  恢复后补传</w:t>
            </w:r>
          </w:p>
        </w:tc>
      </w:tr>
      <w:tr>
        <w:trPr>
          <w:cantSplit w:val="true"/>
        </w:trPr>
        <w:tc>
          <w:tcPr>
            <w:tcW w:type="dxa" w:w="181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传感器故障</w:t>
            </w:r>
          </w:p>
        </w:tc>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退出相关自动开启  延长关闭确认  提醒人工巡查</w:t>
            </w:r>
          </w:p>
        </w:tc>
      </w:tr>
      <w:tr>
        <w:trPr>
          <w:cantSplit w:val="true"/>
        </w:trPr>
        <w:tc>
          <w:tcPr>
            <w:tcW w:type="dxa" w:w="181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电表异常</w:t>
            </w:r>
          </w:p>
        </w:tc>
        <w:tc>
          <w:tcPr>
            <w:tcW w:type="dxa" w:w="68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以保护装置状态为准  停止节能量核算  创建校验工单</w:t>
            </w:r>
          </w:p>
        </w:tc>
      </w:tr>
      <w:tr>
        <w:trPr>
          <w:cantSplit w:val="true"/>
        </w:trPr>
        <w:tc>
          <w:tcPr>
            <w:tcW w:type="dxa" w:w="181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控制失败</w:t>
            </w:r>
          </w:p>
        </w:tc>
        <w:tc>
          <w:tcPr>
            <w:tcW w:type="dxa" w:w="68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停止重复动作  保持安全状态  上报告警并现场处置</w:t>
            </w:r>
          </w:p>
        </w:tc>
      </w:tr>
    </w:tbl>
    <w:p>
      <w:pPr>
        <w:spacing w:after="20"/>
      </w:pPr>
    </w:p>
    <w:p>
      <w:r>
        <w:br w:type="page"/>
      </w:r>
    </w:p>
    <w:p>
      <w:pPr>
        <w:pStyle w:val="Heading1"/>
        <w:keepNext/>
        <w:spacing w:before="200" w:after="100"/>
      </w:pPr>
      <w:r>
        <w:rPr>
          <w:rFonts w:ascii="Arial" w:hAnsi="Arial" w:eastAsia="微软雅黑"/>
          <w:b/>
          <w:color w:val="000000"/>
          <w:sz w:val="30"/>
        </w:rPr>
        <w:t>九 分阶段实施与验收</w:t>
      </w:r>
    </w:p>
    <w:p>
      <w:pPr>
        <w:pStyle w:val="Heading2"/>
        <w:keepNext/>
        <w:spacing w:before="140" w:after="100"/>
      </w:pPr>
      <w:r>
        <w:rPr>
          <w:rFonts w:ascii="Arial" w:hAnsi="Arial" w:eastAsia="微软雅黑"/>
          <w:b/>
          <w:color w:val="000000"/>
          <w:sz w:val="24"/>
        </w:rPr>
        <w:t>1 实施路线</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13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阶段</w:t>
            </w:r>
          </w:p>
        </w:tc>
        <w:tc>
          <w:tcPr>
            <w:tcW w:type="dxa" w:w="158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周期</w:t>
            </w:r>
          </w:p>
        </w:tc>
        <w:tc>
          <w:tcPr>
            <w:tcW w:type="dxa" w:w="589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主要工作</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阶段零</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4 至 6 周</w:t>
            </w:r>
          </w:p>
        </w:tc>
        <w:tc>
          <w:tcPr>
            <w:tcW w:type="dxa" w:w="589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核对 397 间教室清单  配电图  设备铭牌  网络条件  课表接口  连续测量现状</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阶段一</w:t>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1 个学期</w:t>
            </w:r>
          </w:p>
        </w:tc>
        <w:tc>
          <w:tcPr>
            <w:tcW w:type="dxa" w:w="589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选择 30 间试点  覆盖新旧楼  大中小教室  空调类型和自习场景  采用对照组</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阶段二</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4 至 6 个月</w:t>
            </w:r>
          </w:p>
        </w:tc>
        <w:tc>
          <w:tcPr>
            <w:tcW w:type="dxa" w:w="589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优先改造非监管电量高  投诉少且接口清晰的 100 至 150 间  完成平台和工单对接</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阶段三</w:t>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6 至 12 个月</w:t>
            </w:r>
          </w:p>
        </w:tc>
        <w:tc>
          <w:tcPr>
            <w:tcW w:type="dxa" w:w="589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扩展至其余教室  校准模型  形成年度审计和持续优化机制</w:t>
            </w:r>
          </w:p>
        </w:tc>
      </w:tr>
    </w:tbl>
    <w:p>
      <w:pPr>
        <w:spacing w:after="20"/>
      </w:pPr>
    </w:p>
    <w:p>
      <w:pPr>
        <w:pStyle w:val="Heading2"/>
        <w:keepNext/>
        <w:spacing w:before="140" w:after="100"/>
      </w:pPr>
      <w:r>
        <w:rPr>
          <w:rFonts w:ascii="Arial" w:hAnsi="Arial" w:eastAsia="微软雅黑"/>
          <w:b/>
          <w:color w:val="000000"/>
          <w:sz w:val="24"/>
        </w:rPr>
        <w:t>2 试点选点</w:t>
      </w:r>
    </w:p>
    <w:p>
      <w:pPr>
        <w:spacing w:line="360" w:lineRule="auto" w:after="100"/>
        <w:ind w:firstLine="420"/>
        <w:jc w:val="both"/>
      </w:pPr>
      <w:r>
        <w:rPr>
          <w:rFonts w:ascii="Arial" w:hAnsi="Arial" w:eastAsia="宋体"/>
          <w:color w:val="222222"/>
          <w:sz w:val="21"/>
        </w:rPr>
        <w:t>试点建议在 3 个校区分别选取样本，至少包含 10 间普通多媒体教室、8 间智慧教室、6 间晚自习教室和 6 间大教室。每类设置未改造对照组。试点前记录 4 周基线，覆盖空调季更佳；若学期时间不足，可先完成计量，自动控制在下一空调季验收。</w:t>
      </w:r>
    </w:p>
    <w:p>
      <w:pPr>
        <w:pStyle w:val="Heading2"/>
        <w:keepNext/>
        <w:spacing w:before="140" w:after="100"/>
      </w:pPr>
      <w:r>
        <w:rPr>
          <w:rFonts w:ascii="Arial" w:hAnsi="Arial" w:eastAsia="微软雅黑"/>
          <w:b/>
          <w:color w:val="000000"/>
          <w:sz w:val="24"/>
        </w:rPr>
        <w:t>3 验收指标</w:t>
      </w:r>
    </w:p>
    <w:tbl>
      <w:tblPr>
        <w:tblW w:type="auto" w:w="0"/>
        <w:jc w:val="center"/>
        <w:tblLayout w:type="fixed"/>
        <w:tblLook w:firstColumn="1" w:firstRow="1" w:lastColumn="0" w:lastRow="0" w:noHBand="0" w:noVBand="1" w:val="04A0"/>
      </w:tblPr>
      <w:tblGrid>
        <w:gridCol w:w="3305"/>
        <w:gridCol w:w="3305"/>
        <w:gridCol w:w="3305"/>
      </w:tblGrid>
      <w:tr>
        <w:trPr>
          <w:tblHeader w:val="true"/>
          <w:cantSplit w:val="true"/>
        </w:trPr>
        <w:tc>
          <w:tcPr>
            <w:tcW w:type="dxa" w:w="170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指标</w:t>
            </w:r>
          </w:p>
        </w:tc>
        <w:tc>
          <w:tcPr>
            <w:tcW w:type="dxa" w:w="226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建议门槛</w:t>
            </w:r>
          </w:p>
        </w:tc>
        <w:tc>
          <w:tcPr>
            <w:tcW w:type="dxa" w:w="4648"/>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核验方法</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数据完整率</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不低于 99%</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按 5 分钟测点统计  计划停机单列</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电量准确性</w:t>
            </w:r>
          </w:p>
        </w:tc>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与校验表偏差满足选用表计等级和项目要求</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逐表校验并进行上下级平衡</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命令成功率</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不低于 99%</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平台命令有执行反馈和功率复核</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误关机</w:t>
            </w:r>
          </w:p>
        </w:tc>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低于每千教室日 1 次</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以师生投诉和现场复核为准</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告警闭环率</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不低于 95%</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24 小时内确认  按等级限时关闭</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节电率</w:t>
            </w:r>
          </w:p>
        </w:tc>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试点归一化后不低于 12%</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同类对照  课时和天气校正</w:t>
            </w:r>
          </w:p>
        </w:tc>
      </w:tr>
      <w:tr>
        <w:trPr>
          <w:cantSplit w:val="true"/>
        </w:trPr>
        <w:tc>
          <w:tcPr>
            <w:tcW w:type="dxa" w:w="170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本地自治</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平台与网络中断时策略可运行</w:t>
            </w:r>
          </w:p>
        </w:tc>
        <w:tc>
          <w:tcPr>
            <w:tcW w:type="dxa" w:w="4648"/>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断网 2 小时实测</w:t>
            </w:r>
          </w:p>
        </w:tc>
      </w:tr>
      <w:tr>
        <w:trPr>
          <w:cantSplit w:val="true"/>
        </w:trPr>
        <w:tc>
          <w:tcPr>
            <w:tcW w:type="dxa" w:w="170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安全</w:t>
            </w:r>
          </w:p>
        </w:tc>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消防回路无误控  保护功能无削弱</w:t>
            </w:r>
          </w:p>
        </w:tc>
        <w:tc>
          <w:tcPr>
            <w:tcW w:type="dxa" w:w="4648"/>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专项测试和文件审查</w:t>
            </w:r>
          </w:p>
        </w:tc>
      </w:tr>
    </w:tbl>
    <w:p>
      <w:pPr>
        <w:spacing w:after="20"/>
      </w:pPr>
    </w:p>
    <w:p>
      <w:pPr>
        <w:pStyle w:val="Heading2"/>
        <w:keepNext/>
        <w:spacing w:before="140" w:after="100"/>
      </w:pPr>
      <w:r>
        <w:rPr>
          <w:rFonts w:ascii="Arial" w:hAnsi="Arial" w:eastAsia="微软雅黑"/>
          <w:b/>
          <w:color w:val="000000"/>
          <w:sz w:val="24"/>
        </w:rPr>
        <w:t>4 测量与验证</w:t>
      </w:r>
    </w:p>
    <w:p>
      <w:pPr>
        <w:spacing w:line="360" w:lineRule="auto" w:after="100"/>
        <w:ind w:firstLine="420"/>
        <w:jc w:val="both"/>
      </w:pPr>
      <w:r>
        <w:rPr>
          <w:rFonts w:ascii="Arial" w:hAnsi="Arial" w:eastAsia="宋体"/>
          <w:color w:val="222222"/>
          <w:sz w:val="21"/>
        </w:rPr>
        <w:t>验收不只比较总电量。应按课时、开放时长、室外温度和教室类型校正，并报告统计区间。对改造前后采用相同房间比较时，应排除大型考试、停课和施工；采用对照组时，应说明对照组与试点组的容量和使用差异。节能量计算文件、原始数据、参数版本和异常剔除记录一并归档。</w:t>
      </w:r>
    </w:p>
    <w:p>
      <w:pPr>
        <w:pStyle w:val="Heading2"/>
        <w:keepNext/>
        <w:spacing w:before="140" w:after="100"/>
      </w:pPr>
      <w:r>
        <w:rPr>
          <w:rFonts w:ascii="Arial" w:hAnsi="Arial" w:eastAsia="微软雅黑"/>
          <w:b/>
          <w:color w:val="000000"/>
          <w:sz w:val="24"/>
        </w:rPr>
        <w:t>5 验收资料</w:t>
      </w:r>
    </w:p>
    <w:tbl>
      <w:tblPr>
        <w:tblW w:type="auto" w:w="0"/>
        <w:jc w:val="center"/>
        <w:tblLayout w:type="fixed"/>
        <w:tblLook w:firstColumn="1" w:firstRow="1" w:lastColumn="0" w:lastRow="0" w:noHBand="0" w:noVBand="1" w:val="04A0"/>
      </w:tblPr>
      <w:tblGrid>
        <w:gridCol w:w="4958"/>
        <w:gridCol w:w="4958"/>
      </w:tblGrid>
      <w:tr>
        <w:trPr>
          <w:tblHeader w:val="true"/>
          <w:cantSplit w:val="true"/>
        </w:trPr>
        <w:tc>
          <w:tcPr>
            <w:tcW w:type="dxa" w:w="187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资料类别</w:t>
            </w:r>
          </w:p>
        </w:tc>
        <w:tc>
          <w:tcPr>
            <w:tcW w:type="dxa" w:w="6746"/>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8"/>
              </w:rPr>
              <w:t>交付内容</w:t>
            </w:r>
          </w:p>
        </w:tc>
      </w:tr>
      <w:tr>
        <w:trPr>
          <w:cantSplit w:val="true"/>
        </w:trPr>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竣工与资产</w:t>
            </w:r>
          </w:p>
        </w:tc>
        <w:tc>
          <w:tcPr>
            <w:tcW w:type="dxa" w:w="674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竣工图  设备清单  编码标签  合格证  质保文件</w:t>
            </w:r>
          </w:p>
        </w:tc>
      </w:tr>
      <w:tr>
        <w:trPr>
          <w:cantSplit w:val="true"/>
        </w:trPr>
        <w:tc>
          <w:tcPr>
            <w:tcW w:type="dxa" w:w="187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数据与接口</w:t>
            </w:r>
          </w:p>
        </w:tc>
        <w:tc>
          <w:tcPr>
            <w:tcW w:type="dxa" w:w="674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点位表  数据字典  接口文档  账号权限矩阵</w:t>
            </w:r>
          </w:p>
        </w:tc>
      </w:tr>
      <w:tr>
        <w:trPr>
          <w:cantSplit w:val="true"/>
        </w:trPr>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测试与校准</w:t>
            </w:r>
          </w:p>
        </w:tc>
        <w:tc>
          <w:tcPr>
            <w:tcW w:type="dxa" w:w="674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电表校验  控制测试  断网测试  安全专项记录</w:t>
            </w:r>
          </w:p>
        </w:tc>
      </w:tr>
      <w:tr>
        <w:trPr>
          <w:cantSplit w:val="true"/>
        </w:trPr>
        <w:tc>
          <w:tcPr>
            <w:tcW w:type="dxa" w:w="187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软件与安全</w:t>
            </w:r>
          </w:p>
        </w:tc>
        <w:tc>
          <w:tcPr>
            <w:tcW w:type="dxa" w:w="6746"/>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配置备份  策略版本  漏洞修复记录  恢复预案</w:t>
            </w:r>
          </w:p>
        </w:tc>
      </w:tr>
      <w:tr>
        <w:trPr>
          <w:cantSplit w:val="true"/>
        </w:trPr>
        <w:tc>
          <w:tcPr>
            <w:tcW w:type="dxa" w:w="187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8"/>
              </w:rPr>
              <w:t>运行与培训</w:t>
            </w:r>
          </w:p>
        </w:tc>
        <w:tc>
          <w:tcPr>
            <w:tcW w:type="dxa" w:w="6746"/>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8"/>
              </w:rPr>
              <w:t>操作手册  培训签到  工单流程  维保联系人</w:t>
            </w:r>
          </w:p>
        </w:tc>
      </w:tr>
    </w:tbl>
    <w:p>
      <w:pPr>
        <w:spacing w:after="20"/>
      </w:pPr>
    </w:p>
    <w:p>
      <w:pPr>
        <w:keepNext/>
        <w:jc w:val="center"/>
      </w:pPr>
      <w:r>
        <w:drawing>
          <wp:inline xmlns:a="http://schemas.openxmlformats.org/drawingml/2006/main" xmlns:pic="http://schemas.openxmlformats.org/drawingml/2006/picture">
            <wp:extent cx="5989320" cy="2017455"/>
            <wp:docPr id="5" name="Picture 5" descr="图 5  试点扩展前的验收关卡" title="图 5  试点扩展前的验收关卡"/>
            <wp:cNvGraphicFramePr>
              <a:graphicFrameLocks noChangeAspect="1"/>
            </wp:cNvGraphicFramePr>
            <a:graphic>
              <a:graphicData uri="http://schemas.openxmlformats.org/drawingml/2006/picture">
                <pic:pic>
                  <pic:nvPicPr>
                    <pic:cNvPr id="0" name="acceptance_gates.png"/>
                    <pic:cNvPicPr/>
                  </pic:nvPicPr>
                  <pic:blipFill>
                    <a:blip r:embed="rId15"/>
                    <a:stretch>
                      <a:fillRect/>
                    </a:stretch>
                  </pic:blipFill>
                  <pic:spPr>
                    <a:xfrm>
                      <a:off x="0" y="0"/>
                      <a:ext cx="5989320" cy="2017455"/>
                    </a:xfrm>
                    <a:prstGeom prst="rect"/>
                  </pic:spPr>
                </pic:pic>
              </a:graphicData>
            </a:graphic>
          </wp:inline>
        </w:drawing>
      </w:r>
    </w:p>
    <w:p>
      <w:pPr>
        <w:spacing w:before="60" w:after="140"/>
        <w:jc w:val="center"/>
      </w:pPr>
      <w:r>
        <w:rPr>
          <w:rFonts w:ascii="Arial" w:hAnsi="Arial" w:eastAsia="宋体"/>
          <w:color w:val="5C6773"/>
          <w:sz w:val="18"/>
        </w:rPr>
        <w:t>图 5  试点扩展前的验收关卡</w:t>
      </w:r>
    </w:p>
    <w:p>
      <w:r>
        <w:br w:type="page"/>
      </w:r>
    </w:p>
    <w:p>
      <w:pPr>
        <w:pStyle w:val="Heading1"/>
        <w:keepNext/>
        <w:spacing w:before="200" w:after="100"/>
      </w:pPr>
      <w:r>
        <w:rPr>
          <w:rFonts w:ascii="Arial" w:hAnsi="Arial" w:eastAsia="微软雅黑"/>
          <w:b/>
          <w:color w:val="000000"/>
          <w:sz w:val="30"/>
        </w:rPr>
        <w:t>十 投资与效益分析</w:t>
      </w:r>
    </w:p>
    <w:p>
      <w:pPr>
        <w:pStyle w:val="Heading2"/>
        <w:keepNext/>
        <w:spacing w:before="140" w:after="100"/>
      </w:pPr>
      <w:r>
        <w:rPr>
          <w:rFonts w:ascii="Arial" w:hAnsi="Arial" w:eastAsia="微软雅黑"/>
          <w:b/>
          <w:color w:val="000000"/>
          <w:sz w:val="24"/>
        </w:rPr>
        <w:t>1 投资估算</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val="true"/>
        </w:trPr>
        <w:tc>
          <w:tcPr>
            <w:tcW w:type="dxa" w:w="226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项目</w:t>
            </w:r>
          </w:p>
        </w:tc>
        <w:tc>
          <w:tcPr>
            <w:tcW w:type="dxa" w:w="136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规模</w:t>
            </w:r>
          </w:p>
        </w:tc>
        <w:tc>
          <w:tcPr>
            <w:tcW w:type="dxa" w:w="158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估算 万元</w:t>
            </w:r>
          </w:p>
        </w:tc>
        <w:tc>
          <w:tcPr>
            <w:tcW w:type="dxa" w:w="340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说明</w:t>
            </w:r>
          </w:p>
        </w:tc>
      </w:tr>
      <w:tr>
        <w:trPr>
          <w:cantSplit w:val="true"/>
        </w:trPr>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教室分项计量</w:t>
            </w:r>
          </w:p>
        </w:tc>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397 间</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48</w:t>
            </w:r>
          </w:p>
        </w:tc>
        <w:tc>
          <w:tcPr>
            <w:tcW w:type="dxa" w:w="340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远传电表  电流互感器  辅材</w:t>
            </w:r>
          </w:p>
        </w:tc>
      </w:tr>
      <w:tr>
        <w:trPr>
          <w:cantSplit w:val="true"/>
        </w:trPr>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传感器与 DDC</w:t>
            </w:r>
          </w:p>
        </w:tc>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397 间</w:t>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95</w:t>
            </w:r>
          </w:p>
        </w:tc>
        <w:tc>
          <w:tcPr>
            <w:tcW w:type="dxa" w:w="340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占用  照度  温湿度  控制器</w:t>
            </w:r>
          </w:p>
        </w:tc>
      </w:tr>
      <w:tr>
        <w:trPr>
          <w:cantSplit w:val="true"/>
        </w:trPr>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空调接口与现场旁路</w:t>
            </w:r>
          </w:p>
        </w:tc>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397 间</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36</w:t>
            </w:r>
          </w:p>
        </w:tc>
        <w:tc>
          <w:tcPr>
            <w:tcW w:type="dxa" w:w="340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协议模块  干接点  面板</w:t>
            </w:r>
          </w:p>
        </w:tc>
      </w:tr>
      <w:tr>
        <w:trPr>
          <w:cantSplit w:val="true"/>
        </w:trPr>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网关与网络</w:t>
            </w:r>
          </w:p>
        </w:tc>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按楼栋</w:t>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22</w:t>
            </w:r>
          </w:p>
        </w:tc>
        <w:tc>
          <w:tcPr>
            <w:tcW w:type="dxa" w:w="340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边缘网关  交换与安装</w:t>
            </w:r>
          </w:p>
        </w:tc>
      </w:tr>
      <w:tr>
        <w:trPr>
          <w:cantSplit w:val="true"/>
        </w:trPr>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平台与数字孪生</w:t>
            </w:r>
          </w:p>
        </w:tc>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 套</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62</w:t>
            </w:r>
          </w:p>
        </w:tc>
        <w:tc>
          <w:tcPr>
            <w:tcW w:type="dxa" w:w="340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软件  数据库  接口  可视化</w:t>
            </w:r>
          </w:p>
        </w:tc>
      </w:tr>
      <w:tr>
        <w:trPr>
          <w:cantSplit w:val="true"/>
        </w:trPr>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安装调试</w:t>
            </w:r>
          </w:p>
        </w:tc>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全校</w:t>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52</w:t>
            </w:r>
          </w:p>
        </w:tc>
        <w:tc>
          <w:tcPr>
            <w:tcW w:type="dxa" w:w="340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配电改造  测试  标签  竣工资料</w:t>
            </w:r>
          </w:p>
        </w:tc>
      </w:tr>
      <w:tr>
        <w:trPr>
          <w:cantSplit w:val="true"/>
        </w:trPr>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培训备件与预备费</w:t>
            </w:r>
          </w:p>
        </w:tc>
        <w:tc>
          <w:tcPr>
            <w:tcW w:type="dxa" w:w="136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全校</w:t>
            </w:r>
          </w:p>
        </w:tc>
        <w:tc>
          <w:tcPr>
            <w:tcW w:type="dxa" w:w="158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51</w:t>
            </w:r>
          </w:p>
        </w:tc>
        <w:tc>
          <w:tcPr>
            <w:tcW w:type="dxa" w:w="340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培训  备件  约 12% 预备费</w:t>
            </w:r>
          </w:p>
        </w:tc>
      </w:tr>
      <w:tr>
        <w:trPr>
          <w:cantSplit w:val="true"/>
        </w:trPr>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合计</w:t>
            </w:r>
          </w:p>
        </w:tc>
        <w:tc>
          <w:tcPr>
            <w:tcW w:type="dxa" w:w="136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r>
          </w:p>
        </w:tc>
        <w:tc>
          <w:tcPr>
            <w:tcW w:type="dxa" w:w="158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约 366</w:t>
            </w:r>
          </w:p>
        </w:tc>
        <w:tc>
          <w:tcPr>
            <w:tcW w:type="dxa" w:w="340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合理区间约 320 至 450 万元</w:t>
            </w:r>
          </w:p>
        </w:tc>
      </w:tr>
    </w:tbl>
    <w:p>
      <w:pPr>
        <w:spacing w:after="20"/>
      </w:pPr>
    </w:p>
    <w:p>
      <w:pPr>
        <w:spacing w:line="360" w:lineRule="auto" w:after="100"/>
        <w:ind w:firstLine="420"/>
        <w:jc w:val="both"/>
      </w:pPr>
      <w:r>
        <w:rPr>
          <w:rFonts w:ascii="Arial" w:hAnsi="Arial" w:eastAsia="宋体"/>
          <w:color w:val="222222"/>
          <w:sz w:val="21"/>
        </w:rPr>
        <w:t>投资估算用于方案比选，不替代施工图预算和招标控制价。若智慧教室已有占用传感器、控制器和网络，可复用并减少投资；旧楼配电箱空间不足、空调品牌接口不统一或需重新布线时，投资会上升。建议把平台、网关和教室节点分项报价，明确协议开放、数据归属和后续扩容单价。</w:t>
      </w:r>
    </w:p>
    <w:p>
      <w:pPr>
        <w:pStyle w:val="Heading2"/>
        <w:keepNext/>
        <w:spacing w:before="140" w:after="100"/>
      </w:pPr>
      <w:r>
        <w:rPr>
          <w:rFonts w:ascii="Arial" w:hAnsi="Arial" w:eastAsia="微软雅黑"/>
          <w:b/>
          <w:color w:val="000000"/>
          <w:sz w:val="24"/>
        </w:rPr>
        <w:t>2 直接节能收益</w:t>
      </w:r>
    </w:p>
    <w:p>
      <w:pPr>
        <w:spacing w:line="360" w:lineRule="auto" w:after="100"/>
        <w:ind w:firstLine="420"/>
        <w:jc w:val="both"/>
      </w:pPr>
      <w:r>
        <w:rPr>
          <w:rFonts w:ascii="Arial" w:hAnsi="Arial" w:eastAsia="宋体"/>
          <w:color w:val="222222"/>
          <w:sz w:val="21"/>
        </w:rPr>
        <w:t>全校运行稳定后，建议把年度节电目标设为 45 万至 65 万千瓦时，相当于中位基线的 11.7% 至 17.0%。按 0.85 元每千瓦时计算，年直接电费收益约 38.3 万至 55.3 万元。按 320 万至 450 万元投资计算，单纯以电费衡量的静态回收期约 5.8 至 11.8 年。中位投资 366 万元和中位年收益 46.8 万元对应约 7.8 年。</w:t>
      </w:r>
    </w:p>
    <w:p>
      <w:pPr>
        <w:spacing w:line="360" w:lineRule="auto" w:after="100"/>
        <w:ind w:firstLine="420"/>
        <w:jc w:val="both"/>
      </w:pPr>
      <w:r>
        <w:rPr>
          <w:rFonts w:ascii="Arial" w:hAnsi="Arial" w:eastAsia="宋体"/>
          <w:color w:val="222222"/>
          <w:sz w:val="21"/>
        </w:rPr>
        <w:t>直接收益没有计入减少人工巡查、提前发现空调和回路故障、降低设备无效运行小时、辅助空间利用分析等价值，也没有计入平台自身电耗和年度维护费。正式可研应分别列出这些项目，避免重复计算。</w:t>
      </w:r>
    </w:p>
    <w:p>
      <w:pPr>
        <w:pStyle w:val="Heading2"/>
        <w:keepNext/>
        <w:spacing w:before="140" w:after="100"/>
      </w:pPr>
      <w:r>
        <w:rPr>
          <w:rFonts w:ascii="Arial" w:hAnsi="Arial" w:eastAsia="微软雅黑"/>
          <w:b/>
          <w:color w:val="000000"/>
          <w:sz w:val="24"/>
        </w:rPr>
        <w:t>3 方案分级</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val="true"/>
        </w:trPr>
        <w:tc>
          <w:tcPr>
            <w:tcW w:type="dxa" w:w="13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级别</w:t>
            </w:r>
          </w:p>
        </w:tc>
        <w:tc>
          <w:tcPr>
            <w:tcW w:type="dxa" w:w="300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范围</w:t>
            </w:r>
          </w:p>
        </w:tc>
        <w:tc>
          <w:tcPr>
            <w:tcW w:type="dxa" w:w="2267"/>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优点</w:t>
            </w:r>
          </w:p>
        </w:tc>
        <w:tc>
          <w:tcPr>
            <w:tcW w:type="dxa" w:w="204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局限</w:t>
            </w:r>
          </w:p>
        </w:tc>
      </w:tr>
      <w:tr>
        <w:trPr>
          <w:cantSplit w:val="true"/>
        </w:trPr>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基础计量</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楼栋楼层与重点教室远传计量  异常告警</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投资较低  快速找到浪费点</w:t>
            </w:r>
          </w:p>
        </w:tc>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不能自动消除全部浪费</w:t>
            </w:r>
          </w:p>
        </w:tc>
      </w:tr>
      <w:tr>
        <w:trPr>
          <w:cantSplit w:val="true"/>
        </w:trPr>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推荐方案</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397 间计量  占用感知  DDC 控制  平台与工单</w:t>
            </w:r>
          </w:p>
        </w:tc>
        <w:tc>
          <w:tcPr>
            <w:tcW w:type="dxa" w:w="2267"/>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形成完整闭环  节能可核证</w:t>
            </w:r>
          </w:p>
        </w:tc>
        <w:tc>
          <w:tcPr>
            <w:tcW w:type="dxa" w:w="204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需要跨部门协同和调试</w:t>
            </w:r>
          </w:p>
        </w:tc>
      </w:tr>
      <w:tr>
        <w:trPr>
          <w:cantSplit w:val="true"/>
        </w:trPr>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深度改造</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推荐方案加 LED  调光  空调系统改造  新风优化</w:t>
            </w:r>
          </w:p>
        </w:tc>
        <w:tc>
          <w:tcPr>
            <w:tcW w:type="dxa" w:w="2267"/>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节能潜力更高  改善舒适度</w:t>
            </w:r>
          </w:p>
        </w:tc>
        <w:tc>
          <w:tcPr>
            <w:tcW w:type="dxa" w:w="204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投资与施工影响较大</w:t>
            </w:r>
          </w:p>
        </w:tc>
      </w:tr>
    </w:tbl>
    <w:p>
      <w:pPr>
        <w:spacing w:after="20"/>
      </w:pPr>
    </w:p>
    <w:p>
      <w:pPr>
        <w:pStyle w:val="Heading2"/>
        <w:keepNext/>
        <w:spacing w:before="140" w:after="100"/>
      </w:pPr>
      <w:r>
        <w:rPr>
          <w:rFonts w:ascii="Arial" w:hAnsi="Arial" w:eastAsia="微软雅黑"/>
          <w:b/>
          <w:color w:val="000000"/>
          <w:sz w:val="24"/>
        </w:rPr>
        <w:t>4 决策建议</w:t>
      </w:r>
    </w:p>
    <w:p>
      <w:pPr>
        <w:spacing w:line="360" w:lineRule="auto" w:after="100"/>
        <w:ind w:firstLine="420"/>
        <w:jc w:val="both"/>
      </w:pPr>
      <w:r>
        <w:rPr>
          <w:rFonts w:ascii="Arial" w:hAnsi="Arial" w:eastAsia="宋体"/>
          <w:color w:val="222222"/>
          <w:sz w:val="21"/>
        </w:rPr>
        <w:t>先批准计量和 30 间试点，再以实测数据决定全量投资。若试点显示主要浪费集中在少数楼栋，可采用 80 20 策略优先覆盖；若空调接口改造成本过高，可先完成计量、设定值管理和离场提醒，待设备更新时接入原生控制。采购合同应要求开放数据字典、接口文档、配置备份和迁移能力。</w:t>
      </w:r>
    </w:p>
    <w:p>
      <w:pPr>
        <w:pStyle w:val="Heading1"/>
        <w:keepNext/>
        <w:spacing w:before="200" w:after="100"/>
      </w:pPr>
      <w:r>
        <w:rPr>
          <w:rFonts w:ascii="Arial" w:hAnsi="Arial" w:eastAsia="微软雅黑"/>
          <w:b/>
          <w:color w:val="000000"/>
          <w:sz w:val="30"/>
        </w:rPr>
        <w:t>十一 结论</w:t>
      </w:r>
    </w:p>
    <w:p>
      <w:pPr>
        <w:spacing w:line="360" w:lineRule="auto" w:after="100"/>
        <w:ind w:firstLine="420"/>
        <w:jc w:val="both"/>
      </w:pPr>
      <w:r>
        <w:rPr>
          <w:rFonts w:ascii="Arial" w:hAnsi="Arial" w:eastAsia="宋体"/>
          <w:color w:val="222222"/>
          <w:sz w:val="21"/>
        </w:rPr>
        <w:t>南通大学教室数量多、开放时段长，依靠晚间人工巡查无法覆盖全天非监管时段。基于公开教室数量和工程参数的中位估算表明，397 间教室年用电约 383.0 万千瓦时，非监管浪费约 50.8 万千瓦时。空调是最大来源，应与照明、风扇和多媒体设备一并纳入控制。</w:t>
      </w:r>
    </w:p>
    <w:p>
      <w:pPr>
        <w:spacing w:line="360" w:lineRule="auto" w:after="100"/>
        <w:ind w:firstLine="420"/>
        <w:jc w:val="both"/>
      </w:pPr>
      <w:r>
        <w:rPr>
          <w:rFonts w:ascii="Arial" w:hAnsi="Arial" w:eastAsia="宋体"/>
          <w:color w:val="222222"/>
          <w:sz w:val="21"/>
        </w:rPr>
        <w:t>推荐方案以远传电表提供事实基线，以 DDC 和设备接口执行本地策略，以数字孪生关联空间、设备和数据，以管理制度完成告警和工单闭环。项目应从 30 间多类型教室试点开始，并以数据完整率、误关机率、归一化节电率和安全测试作为扩展条件。这样可以在保障教学的前提下，把节能从依赖个人习惯的巡查工作转变为持续、可核证的运行管理。</w:t>
      </w:r>
    </w:p>
    <w:p>
      <w:r>
        <w:br w:type="page"/>
      </w:r>
    </w:p>
    <w:p>
      <w:pPr>
        <w:pStyle w:val="Heading1"/>
        <w:keepNext/>
        <w:spacing w:before="200" w:after="100"/>
      </w:pPr>
      <w:r>
        <w:rPr>
          <w:rFonts w:ascii="Arial" w:hAnsi="Arial" w:eastAsia="微软雅黑"/>
          <w:b/>
          <w:color w:val="000000"/>
          <w:sz w:val="30"/>
        </w:rPr>
        <w:t>附录 A 关键点位表</w:t>
      </w:r>
    </w:p>
    <w:tbl>
      <w:tblPr>
        <w:tblW w:type="auto" w:w="0"/>
        <w:jc w:val="center"/>
        <w:tblLayout w:type="fixed"/>
        <w:tblLook w:firstColumn="1" w:firstRow="1" w:lastColumn="0" w:lastRow="0" w:noHBand="0" w:noVBand="1" w:val="04A0"/>
      </w:tblPr>
      <w:tblGrid>
        <w:gridCol w:w="1983"/>
        <w:gridCol w:w="1983"/>
        <w:gridCol w:w="1983"/>
        <w:gridCol w:w="1983"/>
        <w:gridCol w:w="1983"/>
      </w:tblGrid>
      <w:tr>
        <w:trPr>
          <w:tblHeader w:val="true"/>
          <w:cantSplit w:val="true"/>
        </w:trPr>
        <w:tc>
          <w:tcPr>
            <w:tcW w:type="dxa" w:w="113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对象</w:t>
            </w:r>
          </w:p>
        </w:tc>
        <w:tc>
          <w:tcPr>
            <w:tcW w:type="dxa" w:w="232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点位</w:t>
            </w:r>
          </w:p>
        </w:tc>
        <w:tc>
          <w:tcPr>
            <w:tcW w:type="dxa" w:w="147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单位</w:t>
            </w:r>
          </w:p>
        </w:tc>
        <w:tc>
          <w:tcPr>
            <w:tcW w:type="dxa" w:w="1303"/>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建议周期</w:t>
            </w:r>
          </w:p>
        </w:tc>
        <w:tc>
          <w:tcPr>
            <w:tcW w:type="dxa" w:w="238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用途</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电表</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累计有功电量</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kWh</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5 分钟</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计量  基线  节能核算</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电表</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有功功率</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kW</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 分钟</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空置用电和控制反馈</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电表</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电压电流功率因数</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V A</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5 分钟</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电气异常与设备状态</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断路器</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分合闸与故障状态</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状态</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事件</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保护和隔离</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占用</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有人无人  人数</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状态 人</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10 秒</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控制条件  使用率</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环境</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温度湿度</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摄氏度 百分比</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 分钟</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空调策略和舒适度</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环境</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照度</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lx</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 分钟</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照明分区</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环境</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二氧化碳</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ppm</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1 分钟</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通风提示</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空调</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模式  设定温度  故障</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状态</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事件</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运行与故障</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照明风扇</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命令与反馈</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状态</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事件</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控制闭环</w:t>
            </w:r>
          </w:p>
        </w:tc>
      </w:tr>
      <w:tr>
        <w:trPr>
          <w:cantSplit w:val="true"/>
        </w:trPr>
        <w:tc>
          <w:tcPr>
            <w:tcW w:type="dxa" w:w="113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课表</w:t>
            </w:r>
          </w:p>
        </w:tc>
        <w:tc>
          <w:tcPr>
            <w:tcW w:type="dxa" w:w="232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课程  起止时间  状态</w:t>
            </w:r>
          </w:p>
        </w:tc>
        <w:tc>
          <w:tcPr>
            <w:tcW w:type="dxa" w:w="147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记录</w:t>
            </w:r>
          </w:p>
        </w:tc>
        <w:tc>
          <w:tcPr>
            <w:tcW w:type="dxa" w:w="1303"/>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变更时</w:t>
            </w:r>
          </w:p>
        </w:tc>
        <w:tc>
          <w:tcPr>
            <w:tcW w:type="dxa" w:w="238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使用计划</w:t>
            </w:r>
          </w:p>
        </w:tc>
      </w:tr>
      <w:tr>
        <w:trPr>
          <w:cantSplit w:val="true"/>
        </w:trPr>
        <w:tc>
          <w:tcPr>
            <w:tcW w:type="dxa" w:w="113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工单</w:t>
            </w:r>
          </w:p>
        </w:tc>
        <w:tc>
          <w:tcPr>
            <w:tcW w:type="dxa" w:w="232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告警  责任人  处理结果</w:t>
            </w:r>
          </w:p>
        </w:tc>
        <w:tc>
          <w:tcPr>
            <w:tcW w:type="dxa" w:w="147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记录</w:t>
            </w:r>
          </w:p>
        </w:tc>
        <w:tc>
          <w:tcPr>
            <w:tcW w:type="dxa" w:w="1303"/>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事件</w:t>
            </w:r>
          </w:p>
        </w:tc>
        <w:tc>
          <w:tcPr>
            <w:tcW w:type="dxa" w:w="238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管理闭环</w:t>
            </w:r>
          </w:p>
        </w:tc>
      </w:tr>
    </w:tbl>
    <w:p>
      <w:pPr>
        <w:spacing w:after="20"/>
      </w:pPr>
    </w:p>
    <w:p>
      <w:pPr>
        <w:spacing w:line="360" w:lineRule="auto" w:after="100"/>
        <w:jc w:val="both"/>
      </w:pPr>
      <w:r>
        <w:rPr>
          <w:rFonts w:ascii="Arial" w:hAnsi="Arial" w:eastAsia="宋体"/>
          <w:color w:val="222222"/>
          <w:sz w:val="21"/>
        </w:rPr>
        <w:t>点位命名建议采用 校区 楼栋 楼层 房间 系统 设备 点位 的层级编码。原始测点、计算点和人工录入数据使用不同前缀，避免混淆。所有时间戳统一到学校标准时间。</w:t>
      </w:r>
    </w:p>
    <w:p>
      <w:r>
        <w:br w:type="page"/>
      </w:r>
    </w:p>
    <w:p>
      <w:pPr>
        <w:pStyle w:val="Heading1"/>
        <w:keepNext/>
        <w:spacing w:before="200" w:after="100"/>
      </w:pPr>
      <w:r>
        <w:rPr>
          <w:rFonts w:ascii="Arial" w:hAnsi="Arial" w:eastAsia="微软雅黑"/>
          <w:b/>
          <w:color w:val="000000"/>
          <w:sz w:val="30"/>
        </w:rPr>
        <w:t>附录 B 验收测试用例</w:t>
      </w:r>
    </w:p>
    <w:tbl>
      <w:tblPr>
        <w:tblW w:type="auto" w:w="0"/>
        <w:jc w:val="center"/>
        <w:tblLayout w:type="fixed"/>
        <w:tblLook w:firstColumn="1" w:firstRow="1" w:lastColumn="0" w:lastRow="0" w:noHBand="0" w:noVBand="1" w:val="04A0"/>
      </w:tblPr>
      <w:tblGrid>
        <w:gridCol w:w="2479"/>
        <w:gridCol w:w="2479"/>
        <w:gridCol w:w="2479"/>
        <w:gridCol w:w="2479"/>
      </w:tblGrid>
      <w:tr>
        <w:trPr>
          <w:tblHeader w:val="true"/>
          <w:cantSplit w:val="true"/>
        </w:trPr>
        <w:tc>
          <w:tcPr>
            <w:tcW w:type="dxa" w:w="85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编号</w:t>
            </w:r>
          </w:p>
        </w:tc>
        <w:tc>
          <w:tcPr>
            <w:tcW w:type="dxa" w:w="1530"/>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场景</w:t>
            </w:r>
          </w:p>
        </w:tc>
        <w:tc>
          <w:tcPr>
            <w:tcW w:type="dxa" w:w="3004"/>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步骤</w:t>
            </w:r>
          </w:p>
        </w:tc>
        <w:tc>
          <w:tcPr>
            <w:tcW w:type="dxa" w:w="3231"/>
            <w:shd w:fill="17365D"/>
            <w:tcBorders>
              <w:top w:val="single" w:sz="8" w:color="D9D9D9"/>
              <w:left w:val="single" w:sz="8" w:color="D9D9D9"/>
              <w:bottom w:val="single" w:sz="8" w:color="D9D9D9"/>
              <w:right w:val="single" w:sz="8" w:color="D9D9D9"/>
              <w:insideH w:val="single" w:sz="8" w:color="D9D9D9"/>
              <w:insideV w:val="single" w:sz="8" w:color="D9D9D9"/>
            </w:tcBorders>
            <w:tcMar>
              <w:top w:w="120" w:type="dxa"/>
              <w:start w:w="120" w:type="dxa"/>
              <w:bottom w:w="120" w:type="dxa"/>
              <w:end w:w="120" w:type="dxa"/>
            </w:tcMar>
            <w:vAlign w:val="center"/>
          </w:tcPr>
          <w:p>
            <w:pPr>
              <w:spacing w:after="0"/>
              <w:jc w:val="center"/>
            </w:pPr>
            <w:r/>
            <w:r>
              <w:rPr>
                <w:rFonts w:ascii="Arial" w:hAnsi="Arial" w:eastAsia="微软雅黑"/>
                <w:b/>
                <w:color w:val="FFFFFF"/>
                <w:sz w:val="17"/>
              </w:rPr>
              <w:t>预期结果</w:t>
            </w:r>
          </w:p>
        </w:tc>
      </w:tr>
      <w:tr>
        <w:trPr>
          <w:cantSplit w:val="true"/>
        </w:trPr>
        <w:tc>
          <w:tcPr>
            <w:tcW w:type="dxa" w:w="85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B01</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有课有人</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模拟课表有效并进入教室</w:t>
            </w:r>
          </w:p>
        </w:tc>
        <w:tc>
          <w:tcPr>
            <w:tcW w:type="dxa" w:w="323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允许按环境条件启用  状态与功率一致</w:t>
            </w:r>
          </w:p>
        </w:tc>
      </w:tr>
      <w:tr>
        <w:trPr>
          <w:cantSplit w:val="true"/>
        </w:trPr>
        <w:tc>
          <w:tcPr>
            <w:tcW w:type="dxa" w:w="85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B02</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有课无人</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课表有效但持续无人</w:t>
            </w:r>
          </w:p>
        </w:tc>
        <w:tc>
          <w:tcPr>
            <w:tcW w:type="dxa" w:w="323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不自动开启  已开设备延时关闭</w:t>
            </w:r>
          </w:p>
        </w:tc>
      </w:tr>
      <w:tr>
        <w:trPr>
          <w:cantSplit w:val="true"/>
        </w:trPr>
        <w:tc>
          <w:tcPr>
            <w:tcW w:type="dxa" w:w="85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B03</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自习续时</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无课表  人员按键续时</w:t>
            </w:r>
          </w:p>
        </w:tc>
        <w:tc>
          <w:tcPr>
            <w:tcW w:type="dxa" w:w="323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在开放时段延长  记录人工覆盖</w:t>
            </w:r>
          </w:p>
        </w:tc>
      </w:tr>
      <w:tr>
        <w:trPr>
          <w:cantSplit w:val="true"/>
        </w:trPr>
        <w:tc>
          <w:tcPr>
            <w:tcW w:type="dxa" w:w="85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B04</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传感器失联</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断开占用传感器</w:t>
            </w:r>
          </w:p>
        </w:tc>
        <w:tc>
          <w:tcPr>
            <w:tcW w:type="dxa" w:w="323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进入降级  不误关  产生告警</w:t>
            </w:r>
          </w:p>
        </w:tc>
      </w:tr>
      <w:tr>
        <w:trPr>
          <w:cantSplit w:val="true"/>
        </w:trPr>
        <w:tc>
          <w:tcPr>
            <w:tcW w:type="dxa" w:w="85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B05</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平台断网</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阻断楼宇网关上行 2 小时</w:t>
            </w:r>
          </w:p>
        </w:tc>
        <w:tc>
          <w:tcPr>
            <w:tcW w:type="dxa" w:w="323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本地策略运行  数据缓存并补传</w:t>
            </w:r>
          </w:p>
        </w:tc>
      </w:tr>
      <w:tr>
        <w:trPr>
          <w:cantSplit w:val="true"/>
        </w:trPr>
        <w:tc>
          <w:tcPr>
            <w:tcW w:type="dxa" w:w="85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B06</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空调停机</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发送关闭命令</w:t>
            </w:r>
          </w:p>
        </w:tc>
        <w:tc>
          <w:tcPr>
            <w:tcW w:type="dxa" w:w="323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设备正常停机  满足最小停机时间  功率下降</w:t>
            </w:r>
          </w:p>
        </w:tc>
      </w:tr>
      <w:tr>
        <w:trPr>
          <w:cantSplit w:val="true"/>
        </w:trPr>
        <w:tc>
          <w:tcPr>
            <w:tcW w:type="dxa" w:w="85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B07</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控制失败</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执行器拒动</w:t>
            </w:r>
          </w:p>
        </w:tc>
        <w:tc>
          <w:tcPr>
            <w:tcW w:type="dxa" w:w="323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停止重复动作  告警和工单生成</w:t>
            </w:r>
          </w:p>
        </w:tc>
      </w:tr>
      <w:tr>
        <w:trPr>
          <w:cantSplit w:val="true"/>
        </w:trPr>
        <w:tc>
          <w:tcPr>
            <w:tcW w:type="dxa" w:w="85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B08</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消防回路</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执行闭馆批量命令</w:t>
            </w:r>
          </w:p>
        </w:tc>
        <w:tc>
          <w:tcPr>
            <w:tcW w:type="dxa" w:w="323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消防与应急回路不受影响</w:t>
            </w:r>
          </w:p>
        </w:tc>
      </w:tr>
      <w:tr>
        <w:trPr>
          <w:cantSplit w:val="true"/>
        </w:trPr>
        <w:tc>
          <w:tcPr>
            <w:tcW w:type="dxa" w:w="85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B09</w:t>
            </w:r>
          </w:p>
        </w:tc>
        <w:tc>
          <w:tcPr>
            <w:tcW w:type="dxa" w:w="1530"/>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越权操作</w:t>
            </w:r>
          </w:p>
        </w:tc>
        <w:tc>
          <w:tcPr>
            <w:tcW w:type="dxa" w:w="3004"/>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普通用户尝试远程分闸</w:t>
            </w:r>
          </w:p>
        </w:tc>
        <w:tc>
          <w:tcPr>
            <w:tcW w:type="dxa" w:w="3231"/>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拒绝操作并记录审计日志</w:t>
            </w:r>
          </w:p>
        </w:tc>
      </w:tr>
      <w:tr>
        <w:trPr>
          <w:cantSplit w:val="true"/>
        </w:trPr>
        <w:tc>
          <w:tcPr>
            <w:tcW w:type="dxa" w:w="85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B10</w:t>
            </w:r>
          </w:p>
        </w:tc>
        <w:tc>
          <w:tcPr>
            <w:tcW w:type="dxa" w:w="1530"/>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center"/>
            </w:pPr>
            <w:r/>
            <w:r>
              <w:rPr>
                <w:rFonts w:ascii="Arial" w:hAnsi="Arial" w:eastAsia="宋体"/>
                <w:color w:val="222222"/>
                <w:sz w:val="17"/>
              </w:rPr>
              <w:t>电量平衡</w:t>
            </w:r>
          </w:p>
        </w:tc>
        <w:tc>
          <w:tcPr>
            <w:tcW w:type="dxa" w:w="3004"/>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汇总下级表与上级表</w:t>
            </w:r>
          </w:p>
        </w:tc>
        <w:tc>
          <w:tcPr>
            <w:tcW w:type="dxa" w:w="3231"/>
            <w:shd w:fill="F4F8FB"/>
            <w:tcBorders>
              <w:top w:val="single" w:sz="8" w:color="D9D9D9"/>
              <w:left w:val="single" w:sz="8" w:color="D9D9D9"/>
              <w:bottom w:val="single" w:sz="8" w:color="D9D9D9"/>
              <w:right w:val="single" w:sz="8" w:color="D9D9D9"/>
              <w:insideH w:val="single" w:sz="8" w:color="D9D9D9"/>
              <w:insideV w:val="single" w:sz="8" w:color="D9D9D9"/>
            </w:tcBorders>
            <w:tcMar>
              <w:top w:w="110" w:type="dxa"/>
              <w:start w:w="120" w:type="dxa"/>
              <w:bottom w:w="110" w:type="dxa"/>
              <w:end w:w="120" w:type="dxa"/>
            </w:tcMar>
            <w:vAlign w:val="center"/>
          </w:tcPr>
          <w:p>
            <w:pPr>
              <w:spacing w:after="0" w:line="276" w:lineRule="auto"/>
              <w:jc w:val="left"/>
            </w:pPr>
            <w:r/>
            <w:r>
              <w:rPr>
                <w:rFonts w:ascii="Arial" w:hAnsi="Arial" w:eastAsia="宋体"/>
                <w:color w:val="222222"/>
                <w:sz w:val="17"/>
              </w:rPr>
              <w:t>差额在项目规定范围内  缺失可追溯</w:t>
            </w:r>
          </w:p>
        </w:tc>
      </w:tr>
    </w:tbl>
    <w:p>
      <w:pPr>
        <w:spacing w:after="20"/>
      </w:pPr>
    </w:p>
    <w:p>
      <w:r>
        <w:br w:type="page"/>
      </w:r>
    </w:p>
    <w:p>
      <w:pPr>
        <w:pStyle w:val="Heading1"/>
        <w:keepNext/>
        <w:spacing w:before="200" w:after="100"/>
      </w:pPr>
      <w:r>
        <w:rPr>
          <w:rFonts w:ascii="Arial" w:hAnsi="Arial" w:eastAsia="微软雅黑"/>
          <w:b/>
          <w:color w:val="000000"/>
          <w:sz w:val="30"/>
        </w:rPr>
        <w:t>参考文献</w:t>
      </w:r>
    </w:p>
    <w:p>
      <w:pPr>
        <w:spacing w:after="100" w:line="276" w:lineRule="auto"/>
        <w:ind w:left="369" w:hanging="369"/>
      </w:pPr>
      <w:r>
        <w:rPr>
          <w:rFonts w:ascii="Arial" w:hAnsi="Arial" w:eastAsia="宋体"/>
          <w:color w:val="222222"/>
          <w:sz w:val="18"/>
        </w:rPr>
        <w:t>[1] 南通大学. 学校简介. https://www.ntu.edu.cn/xxjj/list.htm  访问日期 2026 10 22.</w:t>
      </w:r>
    </w:p>
    <w:p>
      <w:pPr>
        <w:spacing w:after="100" w:line="276" w:lineRule="auto"/>
        <w:ind w:left="369" w:hanging="369"/>
      </w:pPr>
      <w:r>
        <w:rPr>
          <w:rFonts w:ascii="Arial" w:hAnsi="Arial" w:eastAsia="宋体"/>
          <w:color w:val="222222"/>
          <w:sz w:val="18"/>
        </w:rPr>
        <w:t>[2] 南通大学. 南通大学 2022 至 2023 学年本科教学质量报告. https://xxgk.ntu.edu.cn/2023/1205/c5182a223717/page.htm  2023 12 05.</w:t>
      </w:r>
    </w:p>
    <w:p>
      <w:pPr>
        <w:spacing w:after="100" w:line="276" w:lineRule="auto"/>
        <w:ind w:left="369" w:hanging="369"/>
      </w:pPr>
      <w:r>
        <w:rPr>
          <w:rFonts w:ascii="Arial" w:hAnsi="Arial" w:eastAsia="宋体"/>
          <w:color w:val="222222"/>
          <w:sz w:val="18"/>
        </w:rPr>
        <w:t>[3] 南通大学. 南通大学 2024 年十件大事. https://news.ntu.edu.cn/_t61/2025/0105/c9a258816/page.htm  2025 01 05.</w:t>
      </w:r>
    </w:p>
    <w:p>
      <w:pPr>
        <w:spacing w:after="100" w:line="276" w:lineRule="auto"/>
        <w:ind w:left="369" w:hanging="369"/>
      </w:pPr>
      <w:r>
        <w:rPr>
          <w:rFonts w:ascii="Arial" w:hAnsi="Arial" w:eastAsia="宋体"/>
          <w:color w:val="222222"/>
          <w:sz w:val="18"/>
        </w:rPr>
        <w:t>[4] 南通大学后勤保障部. 南通大学空调器使用管理规定 2020 年修订. https://hqbzb.ntu.edu.cn/2020/1203/c5583a158201/page.htm  2020 05 21.</w:t>
      </w:r>
    </w:p>
    <w:p>
      <w:pPr>
        <w:spacing w:after="100" w:line="276" w:lineRule="auto"/>
        <w:ind w:left="369" w:hanging="369"/>
      </w:pPr>
      <w:r>
        <w:rPr>
          <w:rFonts w:ascii="Arial" w:hAnsi="Arial" w:eastAsia="宋体"/>
          <w:color w:val="222222"/>
          <w:sz w:val="18"/>
        </w:rPr>
        <w:t>[5] 住房和城乡建设部  教育部. 高等学校校园建筑节能监管系统建设技术导则及有关管理办法. 建科 2009 163 号  2009.</w:t>
      </w:r>
    </w:p>
    <w:p>
      <w:pPr>
        <w:spacing w:after="100" w:line="276" w:lineRule="auto"/>
        <w:ind w:left="369" w:hanging="369"/>
      </w:pPr>
      <w:r>
        <w:rPr>
          <w:rFonts w:ascii="Arial" w:hAnsi="Arial" w:eastAsia="宋体"/>
          <w:color w:val="222222"/>
          <w:sz w:val="18"/>
        </w:rPr>
        <w:t>[6] 高等学校校园建筑节能监管系统运行管理技术导则. https://www.hncu.edu.cn/xjjyhqglc/info/1093/2933.htm  访问日期 2026 10 22.</w:t>
      </w:r>
    </w:p>
    <w:p>
      <w:pPr>
        <w:spacing w:after="100" w:line="276" w:lineRule="auto"/>
        <w:ind w:left="369" w:hanging="369"/>
      </w:pPr>
      <w:r>
        <w:rPr>
          <w:rFonts w:ascii="Arial" w:hAnsi="Arial" w:eastAsia="宋体"/>
          <w:color w:val="222222"/>
          <w:sz w:val="18"/>
        </w:rPr>
        <w:t>[7] 国家市场监督管理总局  国家标准化管理委员会. GB/T 22239-2019 信息安全技术 网络安全等级保护基本要求. https://openstd.samr.gov.cn/bzgk/std/newGbInfo?hcno=BAFB47E8874764186BDB7865E8344DAF.</w:t>
      </w:r>
    </w:p>
    <w:p>
      <w:pPr>
        <w:spacing w:after="100" w:line="276" w:lineRule="auto"/>
        <w:ind w:left="369" w:hanging="369"/>
      </w:pPr>
      <w:r>
        <w:rPr>
          <w:rFonts w:ascii="Arial" w:hAnsi="Arial" w:eastAsia="宋体"/>
          <w:color w:val="222222"/>
          <w:sz w:val="18"/>
        </w:rPr>
        <w:t>[8] 住房和城乡建设部. GB 55024-2022 建筑电气与智能化通用规范. https://www.mohurd.gov.cn/gongkai/zc/wjk/art/2024/art_17339_765632.html.</w:t>
      </w:r>
    </w:p>
    <w:p>
      <w:pPr>
        <w:spacing w:after="100" w:line="276" w:lineRule="auto"/>
        <w:ind w:left="369" w:hanging="369"/>
      </w:pPr>
      <w:r>
        <w:rPr>
          <w:rFonts w:ascii="Arial" w:hAnsi="Arial" w:eastAsia="宋体"/>
          <w:color w:val="222222"/>
          <w:sz w:val="18"/>
        </w:rPr>
        <w:t>[9] 国家标准化管理委员会. GB/T 19582.2-2008 基于 Modbus 协议的工业自动化网络规范 第 2 部分. https://openstd.samr.gov.cn/bzgk/std/newGbInfo?hcno=58A740D39A7E96EE7A3001F5FB73BE65.</w:t>
      </w:r>
    </w:p>
    <w:p>
      <w:pPr>
        <w:spacing w:after="100" w:line="276" w:lineRule="auto"/>
        <w:ind w:left="369" w:hanging="369"/>
      </w:pPr>
      <w:r>
        <w:rPr>
          <w:rFonts w:ascii="Arial" w:hAnsi="Arial" w:eastAsia="宋体"/>
          <w:color w:val="222222"/>
          <w:sz w:val="18"/>
        </w:rPr>
        <w:t>[10] 生态环境部  国家统计局. 2023 年电力二氧化碳排放因子. https://www.mee.gov.cn/ywdt/zbft/202601/t20260105_1139911.shtml  2026 01 05.</w:t>
      </w:r>
    </w:p>
    <w:p>
      <w:pPr>
        <w:spacing w:after="100" w:line="276" w:lineRule="auto"/>
        <w:ind w:left="369" w:hanging="369"/>
      </w:pPr>
      <w:r>
        <w:rPr>
          <w:rFonts w:ascii="Arial" w:hAnsi="Arial" w:eastAsia="宋体"/>
          <w:color w:val="222222"/>
          <w:sz w:val="18"/>
        </w:rPr>
        <w:t>[11] U.S. Department of Energy. Lighting Specification Guidance for Schools. 2024. https://www.energy.gov/sites/default/files/2024-12/lighting-spec-guidance-school_nov24.pdf.</w:t>
      </w:r>
    </w:p>
    <w:p>
      <w:pPr>
        <w:spacing w:after="100" w:line="276" w:lineRule="auto"/>
        <w:ind w:left="369" w:hanging="369"/>
      </w:pPr>
      <w:r>
        <w:rPr>
          <w:rFonts w:ascii="Arial" w:hAnsi="Arial" w:eastAsia="宋体"/>
          <w:color w:val="222222"/>
          <w:sz w:val="18"/>
        </w:rPr>
        <w:t>[12] U.S. Department of Energy Better Buildings. Wireless Occupancy Sensors for Lighting Controls. https://www.govinfo.gov/content/pkg/GOVPUB-E-PURL-gpo177300/pdf/GOVPUB-E-PURL-gpo177300.pdf.</w:t>
      </w:r>
    </w:p>
    <w:p>
      <w:pPr>
        <w:spacing w:after="100" w:line="276" w:lineRule="auto"/>
        <w:ind w:left="369" w:hanging="369"/>
      </w:pPr>
      <w:r>
        <w:rPr>
          <w:rFonts w:ascii="Arial" w:hAnsi="Arial" w:eastAsia="宋体"/>
          <w:color w:val="222222"/>
          <w:sz w:val="18"/>
        </w:rPr>
        <w:t>[13] 住房和城乡建设部. GB 55015-2021 建筑节能与可再生能源利用通用规范. https://www.beijing.gov.cn/zhengce/zhengcefagui/qtwj/202204/t20220412_2674410.html.</w:t>
      </w:r>
    </w:p>
    <w:sectPr w:rsidR="00FC693F" w:rsidRPr="0006063C" w:rsidSect="00034616">
      <w:headerReference w:type="default" r:id="rId9"/>
      <w:footerReference w:type="default" r:id="rId10"/>
      <w:pgSz w:w="12240" w:h="15840"/>
      <w:pgMar w:top="1049" w:right="1162" w:bottom="992" w:left="1162" w:header="425"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微软雅黑"/>
        <w:color w:val="5C67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微软雅黑"/>
        <w:color w:val="5C6773"/>
        <w:sz w:val="17"/>
      </w:rPr>
      <w:t>南通大学教室节能监控方案设计报告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南通大学教室节能监控方案设计报告</dc:title>
  <dc:subject>教室节能 自动化监控 数字孪生 远传电表 DDC 智能断路器</dc:subject>
  <dc:creator/>
  <cp:keywords>智能教室,节能,监控,数字孪生,远传电表,DDC,断路器</cp:keywords>
  <dc:description>课程作业报告</dc:description>
  <cp:lastModifiedBy/>
  <cp:revision>1</cp:revision>
  <dcterms:created xsi:type="dcterms:W3CDTF">2013-12-23T23:15:00Z</dcterms:created>
  <dcterms:modified xsi:type="dcterms:W3CDTF">2013-12-23T23:15:00Z</dcterms:modified>
  <cp:category/>
</cp:coreProperties>
</file>