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Eine unabhängige Arbeit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v15.0.0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01. August 2026 (UTC)</w:t>
        <w:br/>
        <w:t>Version des Werkes: 2.0 · Corpus-Freeze an BEST_VERSION.md v15.0.0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Status dieser Arbeit</w:t>
      </w:r>
    </w:p>
    <w:p>
      <w:pPr>
        <w:spacing w:after="160" w:before="0" w:line="360" w:lineRule="auto"/>
        <w:ind w:firstLine="425"/>
      </w:pPr>
      <w:r>
        <w:rPr>
          <w:rFonts w:ascii="Times New Roman" w:hAnsi="Times New Roman" w:eastAsia="Times New Roman"/>
          <w:b w:val="0"/>
          <w:i w:val="0"/>
          <w:sz w:val="24"/>
        </w:rPr>
        <w:t>Diese Arbeit trägt die Form einer Dissertation: Fragestellung, Forschungsstand, theoretischer Rahmen, Empirie, Diskussion, Literaturverzeichnis. Die Form ist gewählt, weil der Gegenstand sie verlangt — nicht, weil ein akademisches Verfahren dahintersteht.</w:t>
      </w:r>
    </w:p>
    <w:p>
      <w:pPr>
        <w:spacing w:after="160" w:before="0" w:line="360" w:lineRule="auto"/>
        <w:ind w:firstLine="425"/>
      </w:pPr>
      <w:r>
        <w:rPr>
          <w:rFonts w:ascii="Times New Roman" w:hAnsi="Times New Roman" w:eastAsia="Times New Roman"/>
          <w:b w:val="0"/>
          <w:i w:val="0"/>
          <w:sz w:val="24"/>
        </w:rPr>
        <w:t>Ausdrücklich wird nicht behauptet: ein verliehener oder angestrebter akademischer Grad, ein laufendes oder abgeschlossenes Promotionsverfahren, eine betreuende Hochschule, eine Fakultät, ein Gutachterkreis oder eine Begutachtung durch Dritte. Es gibt keine Einreichung an einer Institution. Wo diese Arbeit auf Selbstveröffentlichungsplattformen erscheint, ist das Veröffentlichung, nicht Begutachtung.</w:t>
      </w:r>
    </w:p>
    <w:p>
      <w:pPr>
        <w:spacing w:after="160" w:before="0" w:line="360" w:lineRule="auto"/>
        <w:ind w:firstLine="425"/>
      </w:pPr>
      <w:r>
        <w:rPr>
          <w:rFonts w:ascii="Times New Roman" w:hAnsi="Times New Roman" w:eastAsia="Times New Roman"/>
          <w:b w:val="0"/>
          <w:i w:val="0"/>
          <w:sz w:val="24"/>
        </w:rPr>
        <w:t>Der Autor ist zugleich Erbauer des untersuchten Systems. Diese Nähe wird in Kapitel 8 methodisch als Second-Order-Kybernetik verteidigt; sie ersetzt aber keine externe Prüfung, und sie wird hier nicht als solche ausgegeben.</w:t>
      </w:r>
    </w:p>
    <w:p>
      <w:pPr>
        <w:spacing w:after="160" w:before="0" w:line="360" w:lineRule="auto"/>
        <w:ind w:firstLine="425"/>
      </w:pPr>
      <w:r>
        <w:rPr>
          <w:rFonts w:ascii="Times New Roman" w:hAnsi="Times New Roman" w:eastAsia="Times New Roman"/>
          <w:b w:val="0"/>
          <w:i w:val="0"/>
          <w:sz w:val="24"/>
        </w:rPr>
        <w:t>Die empirischen Aussagen sind an den Stand v15.0.0 des operativen Kanons gebunden. Dieser Stand ist zum Zeitpunkt des Corpus-Freeze nicht als Release veröffentlicht: der letzte publizierte Tag ist v13.0.0. Diese Differenz ist in der Proof Registry des Projekts selbst als widerlegte Behauptung geführt (V15-ZWEI-AEREN-OHNE-RELEASE) und wird hier nicht geglättet.</w:t>
      </w:r>
    </w:p>
    <w:p>
      <w:pPr>
        <w:spacing w:after="160" w:before="0" w:line="360" w:lineRule="auto"/>
        <w:ind w:firstLine="425"/>
      </w:pPr>
      <w:r>
        <w:rPr>
          <w:rFonts w:ascii="Times New Roman" w:hAnsi="Times New Roman" w:eastAsia="Times New Roman"/>
          <w:b w:val="0"/>
          <w:i w:val="0"/>
          <w:sz w:val="24"/>
        </w:rPr>
        <w:t>Die vollständige Trennung von laufendem Betrieb, Forschungsvorhaben und ausdrücklichem Gedankenspiel — einschließlich der Feststellung, dass kein Quantencomputer beteiligt ist und keine medizinische, psychologische, sicherheitsoffensive oder beratende Leistung erbracht wird — steht in OFFENLEGUNG.md im Wurzelverzeichnis des Projekt-Repositories.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Theorie der autopoietischen und autopolitischen Organisation am empirischen und spekulativen System Fusion Hero OS (operativer Kanon v15.0.0, letzte veröffentlichte Release v13.0.0,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theory of autopoietic and autopolitical organization grounded in the Fusion Hero OS system (operational canon v15.0.0, latest published release v13.0.0,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Status dieser Arbeit</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v15.0.0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v15.0.0</w:t>
      </w:r>
    </w:p>
    <w:p>
      <w:pPr>
        <w:spacing w:after="160" w:before="0" w:line="360" w:lineRule="auto"/>
        <w:ind w:firstLine="425"/>
      </w:pPr>
      <w:r>
        <w:rPr>
          <w:rFonts w:ascii="Times New Roman" w:hAnsi="Times New Roman" w:eastAsia="Times New Roman"/>
          <w:b w:val="0"/>
          <w:i w:val="0"/>
          <w:sz w:val="24"/>
        </w:rPr>
        <w:t>BEST_VERSION.md fixiert v15.0.0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spacing w:after="160" w:before="0" w:line="360" w:lineRule="auto"/>
        <w:ind w:firstLine="425"/>
      </w:pPr>
      <w:r>
        <w:rPr>
          <w:rFonts w:ascii="Times New Roman" w:hAnsi="Times New Roman" w:eastAsia="Times New Roman"/>
          <w:b w:val="0"/>
          <w:i w:val="0"/>
          <w:sz w:val="24"/>
        </w:rPr>
        <w:t>Die Ären 14 und 15 sind dabei additiv ohne benannten Inhalt: BEST_VERSION.md trägt für v15.0.0 ausdrücklich ein, dass der Sprung bisher ein reiner Versionssprung ist und ein Ära-Name erst eingetragen wird, wenn es etwas zu benennen gibt. Das ist keine Schwäche der Darstellung, sondern derselbe Mechanismus in Anwendung auf sich selbst: eine leere Ära wird als leer geführt.</w:t>
      </w:r>
    </w:p>
    <w:p>
      <w:pPr>
        <w:spacing w:after="160" w:before="0" w:line="360" w:lineRule="auto"/>
        <w:ind w:firstLine="425"/>
      </w:pPr>
      <w:r>
        <w:rPr>
          <w:rFonts w:ascii="Times New Roman" w:hAnsi="Times New Roman" w:eastAsia="Times New Roman"/>
          <w:b w:val="0"/>
          <w:i w:val="0"/>
          <w:sz w:val="24"/>
        </w:rPr>
        <w:t>Zugleich ist der Kanon dem Release vorausgelaufen. Die VERSION-Datei steht auf 15.0.0, der letzte auf dem Remote publizierte Tag ist v13.0.0; weder v14.0.0 noch v15.0.0 sind veröffentlicht. Die Proof Registry führt genau das als widerlegte Behauptung (V15-ZWEI-AEREN-OHNE-RELEASE). Der Fall ist für die These einschlägig: die autopolitische Selbstgesetzgebung erzeugt hier eine Regel, die das System im eigenen Vollzug verletzt — und die Verletzung wird registriert statt kaschiert. Autopoiesis heißt nicht Fehlerfreiheit, sondern dass die Abweichung im System selbst als Komponente auftaucht.</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spacing w:after="160" w:before="0" w:line="360" w:lineRule="auto"/>
        <w:ind w:firstLine="425"/>
      </w:pPr>
      <w:r>
        <w:rPr>
          <w:rFonts w:ascii="Times New Roman" w:hAnsi="Times New Roman" w:eastAsia="Times New Roman"/>
          <w:b w:val="0"/>
          <w:i w:val="0"/>
          <w:sz w:val="24"/>
        </w:rPr>
        <w:t>Stand des Corpus-Freeze: die Registry führt 67 Behauptungen — 52 BEWIESEN, 13 OFFEN, 2 WIDERLEGT, bei 703 Tests in der Suite. Entscheidend ist nicht die Zahl, sondern die Erzwingbarkeit: scripts/check_proof_registry.py prüft in der CI, dass jede als BEWIESEN geführte Behauptung auf einen real existierenden Test zeigt. Eine Behauptung ohne Test kann den Status nicht erhalten. Damit ist der Beweisanspruch nicht Absichtserklärung, sondern Gate — und die Grenze des Wissens wird zur maschinell geprüften Eigenschaft des Systems.</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pPr>
        <w:spacing w:after="160" w:before="0" w:line="360" w:lineRule="auto"/>
        <w:ind w:firstLine="425"/>
      </w:pPr>
      <w:r>
        <w:rPr>
          <w:rFonts w:ascii="Times New Roman" w:hAnsi="Times New Roman" w:eastAsia="Times New Roman"/>
          <w:b w:val="0"/>
          <w:i w:val="0"/>
          <w:sz w:val="24"/>
        </w:rPr>
        <w:t>Zwei Behauptungen des Systems sind zum Corpus-Freeze ausdrücklich widerlegt, und sie bleiben in der Registry stehen, statt gelöscht zu werden. Erstens GATE-BLOCKIERT-MERGE-TATSAECHLICH: das Gate, das Merges blockieren sollte, war nicht durchgesetzt — die Regel existierte als Dokument, nicht als Zwang. Zweitens V15-ZWEI-AEREN-OHNE-RELEASE: zwei Ären sind ohne veröffentlichten Tag geblieben (Abschnitt 5.1).</w:t>
      </w:r>
    </w:p>
    <w:p>
      <w:pPr>
        <w:spacing w:after="160" w:before="0" w:line="360" w:lineRule="auto"/>
        <w:ind w:firstLine="425"/>
      </w:pPr>
      <w:r>
        <w:rPr>
          <w:rFonts w:ascii="Times New Roman" w:hAnsi="Times New Roman" w:eastAsia="Times New Roman"/>
          <w:b w:val="0"/>
          <w:i w:val="0"/>
          <w:sz w:val="24"/>
        </w:rPr>
        <w:t>Beide Fälle haben dieselbe Struktur, und sie ist für die Arbeit aufschlussreicher als jeder gelungene Beweis: Die Norm war formuliert, die Prüfung fehlte. Autopolitik, die sich nur schreibt und nicht vollzieht, ist keine Verfassung, sondern eine Absichtserklärung. Der Unterschied zwischen beidem ist genau das Gate — und wo das Gate fehlt, fällt die Selbstgesetzgebung auf die Ebene der bloßen Behauptung zurück. Dass das System diesen Rückfall selbst protokolliert, ist der schwächste und zugleich belastbarste Punkt der These.</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(2026). Fusion Hero OS BEST_VERSION.md v15.0.0. Repository-Kanon, unveröffentlichter Stand.</w:t>
      </w:r>
    </w:p>
    <w:p>
      <w:pPr>
        <w:spacing w:after="120" w:before="0" w:line="360" w:lineRule="auto"/>
      </w:pPr>
      <w:r>
        <w:rPr>
          <w:rFonts w:ascii="Times New Roman" w:hAnsi="Times New Roman" w:eastAsia="Times New Roman"/>
          <w:b w:val="0"/>
          <w:i w:val="0"/>
          <w:sz w:val="22"/>
        </w:rPr>
        <w:t>Urban, S. H. (2026). OFFENLEGUNG.md — Betrieb, Forschung und Gedankenspiel getrennt. Repository-Wurzel.</w:t>
      </w:r>
    </w:p>
    <w:p>
      <w:pPr>
        <w:spacing w:after="120" w:before="0" w:line="360" w:lineRule="auto"/>
      </w:pPr>
      <w:r>
        <w:rPr>
          <w:rFonts w:ascii="Times New Roman" w:hAnsi="Times New Roman" w:eastAsia="Times New Roman"/>
          <w:b w:val="0"/>
          <w:i w:val="0"/>
          <w:sz w:val="22"/>
        </w:rPr>
        <w:t>Urban, S. H. (2026). proof_registry.yaml – autoritative Claims mit Status und Testbezug (67 Behauptungen).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2026-08-01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