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Mutual Non-Disclosure Agreement - 95Percent &amp; Silvermark VC</w:t>
      </w:r>
    </w:p>
    <w:p>
      <w:pPr>
        <w:spacing w:after="800"/>
        <w:jc w:val="center"/>
      </w:pPr>
      <w:r>
        <w:rPr>
          <w:i/>
          <w:iCs/>
          <w:color w:val="666666"/>
          <w:sz w:val="22"/>
          <w:szCs w:val="22"/>
        </w:rPr>
        <w:t xml:space="preserve">Generated by AgentOS V — 4/29/2026</w:t>
      </w:r>
    </w:p>
    <w:p>
      <w:pPr>
        <w:pStyle w:val="Heading1"/>
        <w:spacing w:after="200" w:before="400"/>
      </w:pPr>
      <w:r>
        <w:rPr>
          <w:b/>
          <w:bCs/>
          <w:color w:val="1A1A2E"/>
        </w:rPr>
        <w:t xml:space="preserve">Executive Summary</w:t>
      </w:r>
    </w:p>
    <w:p>
      <w:pPr>
        <w:spacing w:after="200"/>
      </w:pPr>
      <w:r>
        <w:rPr>
          <w:sz w:val="22"/>
          <w:szCs w:val="22"/>
        </w:rPr>
        <w:t xml:space="preserve">This Mutual Non-Disclosure Agreement (NDA) establishes a confidential framework between 95Percent.ai Ltd. and Silvermark VC as they explore a potential business relationship. The agreement creates reciprocal confidentiality obligations for both parties, protecting sensitive business information including financial data, technical specifications, trade secrets, product plans, and marketing strategies. The NDA is designed to facilitate open communication and information sharing while maintaining strict confidentiality protections, with a two-year initial term and three-year post-termination survival period for confidentiality obligations. This document serves as a foundational legal instrument to enable both parties to evaluate opportunities for collaboration while safeguarding proprietary and sensitive information from unauthorized disclosure or misuse.</w:t>
      </w:r>
    </w:p>
    <w:p>
      <w:pPr>
        <w:pStyle w:val="Heading1"/>
        <w:spacing w:after="200" w:before="400"/>
      </w:pPr>
      <w:r>
        <w:rPr>
          <w:b/>
          <w:bCs/>
          <w:color w:val="1A1A2E"/>
        </w:rPr>
        <w:t xml:space="preserve">Parties and Effective Date</w:t>
      </w:r>
    </w:p>
    <w:p>
      <w:pPr>
        <w:spacing w:after="200"/>
      </w:pPr>
      <w:r>
        <w:rPr>
          <w:sz w:val="22"/>
          <w:szCs w:val="22"/>
        </w:rPr>
        <w:t xml:space="preserve">This Agreement is entered into between 95Percent.ai Ltd., a company with principal place of business at [Address to be added], and Silvermark VC, with principal place of business at [Address to be added]. Both parties are referred to collectively as the "Parties" and individually as a "Party." The Agreement becomes effective as of _________, 2026, and shall govern all disclosures of Confidential Information made on or after the Effective Date. The jurisdiction for this Agreement shall be [To be specified; Tokyo is recommended for parties with Japan focus], and all legal proceedings shall be conducted in accordance with the laws of that jurisdiction.</w:t>
      </w:r>
    </w:p>
    <w:p>
      <w:pPr>
        <w:pStyle w:val="Heading1"/>
        <w:spacing w:after="200" w:before="400"/>
      </w:pPr>
      <w:r>
        <w:rPr>
          <w:b/>
          <w:bCs/>
          <w:color w:val="1A1A2E"/>
        </w:rPr>
        <w:t xml:space="preserve">Definition of Confidential Information</w:t>
      </w:r>
    </w:p>
    <w:p>
      <w:pPr>
        <w:spacing w:after="200"/>
      </w:pPr>
      <w:r>
        <w:rPr>
          <w:sz w:val="22"/>
          <w:szCs w:val="22"/>
        </w:rPr>
        <w:t xml:space="preserve">Confidential Information under this Agreement encompasses all non-public information disclosed by one Party to the other, including but not limited to business plans, financial information, technical data, trade secrets, product plans, customer information, marketing strategies, and proprietary software. The definition extends to any information that is marked as confidential or that reasonably should be understood to be confidential given its nature and the circumstances of disclosure. Confidential Information includes both tangible materials such as documents and software, as well as intangible information such as ideas, concepts, and strategies communicated orally or in writing. The scope is intentionally broad to ensure comprehensive protection of sensitive business information that could provide competitive advantage or cause harm if disclosed.</w:t>
      </w:r>
    </w:p>
    <w:p>
      <w:pPr>
        <w:pStyle w:val="Heading1"/>
        <w:spacing w:after="200" w:before="400"/>
      </w:pPr>
      <w:r>
        <w:rPr>
          <w:b/>
          <w:bCs/>
          <w:color w:val="1A1A2E"/>
        </w:rPr>
        <w:t xml:space="preserve">Standard Exclusions from Confidentiality</w:t>
      </w:r>
    </w:p>
    <w:p>
      <w:pPr>
        <w:spacing w:after="200"/>
      </w:pPr>
      <w:r>
        <w:rPr>
          <w:sz w:val="22"/>
          <w:szCs w:val="22"/>
        </w:rPr>
        <w:t xml:space="preserve">Certain categories of information are excluded from confidentiality obligations and may be used or disclosed without restriction. These exclusions include information that is or becomes publicly available through no breach of this Agreement, information that was rightfully possessed by the receiving Party prior to disclosure, information that is independently developed by the receiving Party without reference to the Confidential Information, and information that is rightfully received by the receiving Party from a third party without confidentiality restrictions. The receiving Party bears the burden of proving that information falls within one of these exclusions through clear and convincing evidence. Additionally, information that is required to be disclosed by law or regulatory authority may be disclosed, subject to the notice and cooperation provisions outlined in this Agreement.</w:t>
      </w:r>
    </w:p>
    <w:p>
      <w:pPr>
        <w:pStyle w:val="Heading1"/>
        <w:spacing w:after="200" w:before="400"/>
      </w:pPr>
      <w:r>
        <w:rPr>
          <w:b/>
          <w:bCs/>
          <w:color w:val="1A1A2E"/>
        </w:rPr>
        <w:t xml:space="preserve">Permitted Disclosures and Use Restrictions</w:t>
      </w:r>
    </w:p>
    <w:p>
      <w:pPr>
        <w:spacing w:after="200"/>
      </w:pPr>
      <w:r>
        <w:rPr>
          <w:sz w:val="22"/>
          <w:szCs w:val="22"/>
        </w:rPr>
        <w:t xml:space="preserve">Each Party may disclose Confidential Information only to its employees, officers, directors, and professional advisors (including legal, financial, and technical advisors) who have a legitimate need-to-know and who are bound by written confidentiality obligations no less protective than those contained in this Agreement. The disclosing Party remains responsible for any breach by its permitted recipients and must ensure that such individuals understand the confidential nature of the information. Confidential Information may only be used for the purpose of evaluating the potential business relationship between the Parties and for no other purpose without prior written consent. No license, ownership interest, or other rights in the Confidential Information are granted or implied by disclosure, and the receiving Party acknowledges that it acquires no rights except the limited right to use the information as expressly permitted herein.</w:t>
      </w:r>
    </w:p>
    <w:p>
      <w:pPr>
        <w:pStyle w:val="Heading1"/>
        <w:spacing w:after="200" w:before="400"/>
      </w:pPr>
      <w:r>
        <w:rPr>
          <w:b/>
          <w:bCs/>
          <w:color w:val="1A1A2E"/>
        </w:rPr>
        <w:t xml:space="preserve">Term, Termination, and Survival</w:t>
      </w:r>
    </w:p>
    <w:p>
      <w:pPr>
        <w:spacing w:after="200"/>
      </w:pPr>
      <w:r>
        <w:rPr>
          <w:sz w:val="22"/>
          <w:szCs w:val="22"/>
        </w:rPr>
        <w:t xml:space="preserve">This Agreement shall remain in effect for an initial term of two years from the Effective Date, unless earlier terminated by either Party upon thirty days' written notice to the other Party. Upon termination, the confidentiality obligations shall survive and continue in full force and effect for an additional three-year period from the date of termination. During the survival period, all Confidential Information remains subject to the same confidentiality protections as during the initial term. Upon termination or at any time upon request, the receiving Party shall promptly return or certify in writing the destruction of all Confidential Information in tangible form, including copies and derivatives, except that one archival copy may be retained for legal compliance purposes if required by law. The survival of confidentiality obligations ensures that sensitive information disclosed near the end of the initial term remains protected for a reasonable period following termination.</w:t>
      </w:r>
    </w:p>
    <w:p>
      <w:pPr>
        <w:pStyle w:val="Heading1"/>
        <w:spacing w:after="200" w:before="400"/>
      </w:pPr>
      <w:r>
        <w:rPr>
          <w:b/>
          <w:bCs/>
          <w:color w:val="1A1A2E"/>
        </w:rPr>
        <w:t xml:space="preserve">Legal Remedies and Enforcement</w:t>
      </w:r>
    </w:p>
    <w:p>
      <w:pPr>
        <w:spacing w:after="200"/>
      </w:pPr>
      <w:r>
        <w:rPr>
          <w:sz w:val="22"/>
          <w:szCs w:val="22"/>
        </w:rPr>
        <w:t xml:space="preserve">The Parties acknowledge that breach of this Agreement may cause irreparable harm that cannot be adequately remedied by monetary damages alone. Accordingly, in addition to any other remedies available at law or in equity, the non-breaching Party shall be entitled to seek equitable relief, including injunctive relief and specific performance, to prevent or remedy any breach or threatened breach of this Agreement. The Parties further agree that no bond or other security shall be required as a condition to obtaining such equitable relief. This Agreement contains an "AS IS" provision whereby all Confidential Information is provided without any warranty as to its accuracy, completeness, or fitness for any particular purpose, and neither Party makes any representation regarding the information's reliability or suitability for the receiving Party's intended use.</w:t>
      </w:r>
    </w:p>
    <w:p>
      <w:pPr>
        <w:pStyle w:val="Heading1"/>
        <w:spacing w:after="200" w:before="400"/>
      </w:pPr>
      <w:r>
        <w:rPr>
          <w:b/>
          <w:bCs/>
          <w:color w:val="1A1A2E"/>
        </w:rPr>
        <w:t xml:space="preserve">Conclusions and Recommendations</w:t>
      </w:r>
    </w:p>
    <w:p>
      <w:pPr>
        <w:spacing w:after="200"/>
      </w:pPr>
      <w:r>
        <w:rPr>
          <w:sz w:val="22"/>
          <w:szCs w:val="22"/>
        </w:rPr>
        <w:t xml:space="preserve">This Mutual Non-Disclosure Agreement provides a comprehensive and balanced framework for protecting sensitive information while both parties evaluate a potential business relationship. The agreement's mutual structure ensures that both 95Percent.ai Ltd. and Silvermark VC have equivalent confidentiality protections, fostering trust and enabling candid discussions. We recommend that both parties execute this Agreement before exchanging any material Confidential Information and that they maintain detailed records of all disclosures made under the Agreement. It is further recommended that the parties specify the governing jurisdiction (with Tokyo suggested for Japan-focused operations) and complete all bracketed provisions including addresses and effective date prior to execution. Finally, the Parties should establish clear internal procedures for managing Confidential Information and designate responsible individuals to oversee compliance with the confidentiality obligations outlined herein.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2026-04-29T08:19:38.091Z</dcterms:created>
  <dcterms:modified xsi:type="dcterms:W3CDTF">2026-04-29T08:19:38.091Z</dcterms:modified>
</cp:coreProperties>
</file>

<file path=docProps/custom.xml><?xml version="1.0" encoding="utf-8"?>
<Properties xmlns="http://schemas.openxmlformats.org/officeDocument/2006/custom-properties" xmlns:vt="http://schemas.openxmlformats.org/officeDocument/2006/docPropsVTypes"/>
</file>