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2240280" cy="664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eton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64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Calibri" w:hAnsi="Calibri"/>
          <w:b/>
          <w:color w:val="1F4D78"/>
          <w:sz w:val="48"/>
        </w:rPr>
        <w:t>Партнерское предложение Светон</w:t>
      </w:r>
    </w:p>
    <w:p>
      <w:pPr>
        <w:spacing w:after="240"/>
      </w:pPr>
      <w:r>
        <w:rPr>
          <w:color w:val="666666"/>
          <w:sz w:val="24"/>
        </w:rPr>
        <w:t>Партнерская программа по привлечению и сопровождению клиентов</w:t>
      </w:r>
    </w:p>
    <w:p>
      <w:pPr>
        <w:spacing w:after="240"/>
      </w:pPr>
      <w:r>
        <w:rPr>
          <w:i/>
          <w:color w:val="666666"/>
          <w:sz w:val="19"/>
        </w:rPr>
        <w:t>Версия для обсуждения коммерческих условий после заполнения анкеты партнера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Смысл сотрудничества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232"/>
        <w:gridCol w:w="7128"/>
      </w:tblGrid>
      <w:tr>
        <w:trPr>
          <w:tblHeader w:val="true"/>
          <w:cantSplit/>
        </w:trPr>
        <w:tc>
          <w:tcPr>
            <w:tcW w:type="dxa" w:w="223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Вопрос</w:t>
            </w:r>
          </w:p>
        </w:tc>
        <w:tc>
          <w:tcPr>
            <w:tcW w:type="dxa" w:w="712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Ответ</w:t>
            </w:r>
          </w:p>
        </w:tc>
      </w:tr>
      <w:tr>
        <w:trPr>
          <w:cantSplit/>
        </w:trPr>
        <w:tc>
          <w:tcPr>
            <w:tcW w:type="dxa" w:w="2232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Для кого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Для владельцев домов, коммерческих объектов и небольших предприятий, где электропитание связано с комфортом, безопасностью или непрерывностью работы.</w:t>
            </w:r>
          </w:p>
        </w:tc>
      </w:tr>
      <w:tr>
        <w:trPr>
          <w:cantSplit/>
        </w:trPr>
        <w:tc>
          <w:tcPr>
            <w:tcW w:type="dxa" w:w="2232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Зачем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Чтобы у клиента был управляемый запас автономности на случай отключений, аварий и нестабильной сети.</w:t>
            </w:r>
          </w:p>
        </w:tc>
      </w:tr>
      <w:tr>
        <w:trPr>
          <w:cantSplit/>
        </w:trPr>
        <w:tc>
          <w:tcPr>
            <w:tcW w:type="dxa" w:w="2232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Что делаем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Подбираем и запускаем системы на базе инверторов, аккумуляторов, ИБП, стабилизаторов и сопутствующего оборудования.</w:t>
            </w:r>
          </w:p>
        </w:tc>
      </w:tr>
      <w:tr>
        <w:trPr>
          <w:cantSplit/>
        </w:trPr>
        <w:tc>
          <w:tcPr>
            <w:tcW w:type="dxa" w:w="2232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Как делаем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Сначала разбираем задачу и объект, затем подбираем решение, поставляем оборудование, организуем монтаж и ввод в эксплуатацию.</w:t>
            </w:r>
          </w:p>
        </w:tc>
      </w:tr>
      <w:tr>
        <w:trPr>
          <w:cantSplit/>
        </w:trPr>
        <w:tc>
          <w:tcPr>
            <w:tcW w:type="dxa" w:w="2232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В чем уникальность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17 лет на рынке, инженерная экспертиза, практический опыт объектов и ответственность за работающий результат.</w:t>
            </w:r>
          </w:p>
        </w:tc>
      </w:tr>
      <w:tr>
        <w:trPr>
          <w:cantSplit/>
        </w:trPr>
        <w:tc>
          <w:tcPr>
            <w:tcW w:type="dxa" w:w="2232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С кем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С партнерами рядом с клиентом: электриками, монтажными бригадами, инженерами, строителями, проектировщиками, прорабами и компаниями.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Роли партнера в сделке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2088"/>
        <w:gridCol w:w="4536"/>
        <w:gridCol w:w="2736"/>
      </w:tblGrid>
      <w:tr>
        <w:trPr>
          <w:tblHeader w:val="true"/>
          <w:cantSplit/>
        </w:trPr>
        <w:tc>
          <w:tcPr>
            <w:tcW w:type="dxa" w:w="2088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Роль</w:t>
            </w:r>
          </w:p>
        </w:tc>
        <w:tc>
          <w:tcPr>
            <w:tcW w:type="dxa" w:w="45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Что делает партнер</w:t>
            </w:r>
          </w:p>
        </w:tc>
        <w:tc>
          <w:tcPr>
            <w:tcW w:type="dxa" w:w="2736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Кто оплачивает</w:t>
            </w:r>
          </w:p>
        </w:tc>
      </w:tr>
      <w:tr>
        <w:trPr>
          <w:cantSplit/>
        </w:trPr>
        <w:tc>
          <w:tcPr>
            <w:tcW w:type="dxa" w:w="2088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Привлечение клиента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Передает клиента, у которого есть потребность в резервном или автономном электропитании, и помогает Светон установить первый контакт.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Светон выплачивает вознаграждение за привлечение клиента.</w:t>
            </w:r>
          </w:p>
        </w:tc>
      </w:tr>
      <w:tr>
        <w:trPr>
          <w:cantSplit/>
        </w:trPr>
        <w:tc>
          <w:tcPr>
            <w:tcW w:type="dxa" w:w="2088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Технический осмотр и сбор исходных данных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Проверяет условия подключения, щиты, ввод, место установки, нагрузки, ограничения, делает фото/видео и передает исходные данные для расчета и подбора решения.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Светон выплачивает вознаграждение, если осмотр согласован со Светон.</w:t>
            </w:r>
          </w:p>
        </w:tc>
      </w:tr>
      <w:tr>
        <w:trPr>
          <w:cantSplit/>
        </w:trPr>
        <w:tc>
          <w:tcPr>
            <w:tcW w:type="dxa" w:w="2088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Монтажные и иные работы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Выполняет подготовительные работы, монтаж, подключение оборудования, участвует в запуске системы.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Клиент оплачивает работы напрямую партнеру.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Форматы партнерства по договору</w:t>
      </w:r>
    </w:p>
    <w:p>
      <w:pPr>
        <w:spacing w:before="0" w:after="120" w:line="264" w:lineRule="auto"/>
      </w:pPr>
      <w:r>
        <w:t>Для договора о привлечении и сопровождении клиентов используются два формата участия: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1224"/>
        <w:gridCol w:w="5544"/>
        <w:gridCol w:w="2592"/>
      </w:tblGrid>
      <w:tr>
        <w:trPr>
          <w:tblHeader w:val="true"/>
          <w:cantSplit/>
        </w:trPr>
        <w:tc>
          <w:tcPr>
            <w:tcW w:type="dxa" w:w="122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Формат</w:t>
            </w:r>
          </w:p>
        </w:tc>
        <w:tc>
          <w:tcPr>
            <w:tcW w:type="dxa" w:w="5544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Что входит</w:t>
            </w:r>
          </w:p>
        </w:tc>
        <w:tc>
          <w:tcPr>
            <w:tcW w:type="dxa" w:w="2592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Кто платит</w:t>
            </w:r>
          </w:p>
        </w:tc>
      </w:tr>
      <w:tr>
        <w:trPr>
          <w:cantSplit/>
        </w:trPr>
        <w:tc>
          <w:tcPr>
            <w:tcW w:type="dxa" w:w="1224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Тип A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Партнер привлекает клиента и передает его контакты.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Светон выплачивает вознаграждение за привлечение клиента.</w:t>
            </w:r>
          </w:p>
        </w:tc>
      </w:tr>
      <w:tr>
        <w:trPr>
          <w:cantSplit/>
        </w:trPr>
        <w:tc>
          <w:tcPr>
            <w:tcW w:type="dxa" w:w="1224"/>
            <w:shd w:fill="F4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>Тип B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Партнер привлекает клиента, самостоятельно проводит технический осмотр и передает исходные данные для расчета и подбора решения.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1F1F1F"/>
                <w:sz w:val="20"/>
              </w:rPr>
              <w:t>Светон выплачивает вознаграждение за привлечение клиента и согласованный технический осмотр.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t>Если по объекту возникает необходимость монтажа, подготовительных или иных работ, такие работы согласуются между клиентом и партнером отдельно и оплачиваются клиентом напрямую партнеру.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Как фиксируется участие партнера</w:t>
      </w:r>
    </w:p>
    <w:p>
      <w:pPr>
        <w:spacing w:before="0" w:after="120" w:line="264" w:lineRule="auto"/>
      </w:pPr>
      <w:r>
        <w:t>Участие партнера фиксируется по конкретной сделке. Мы не считаем партнера закрепленным за клиентом вообще и не начисляем вознаграждение за клиентов, которые уже были в базе Светон или находились в работе до участия партнера.</w:t>
      </w:r>
    </w:p>
    <w:p>
      <w:pPr>
        <w:spacing w:before="0" w:after="120" w:line="264" w:lineRule="auto"/>
      </w:pPr>
      <w:r>
        <w:t>Формат участия, клиент и сделка фиксируются в CRM и/или в реестре сделок. Это нужно, чтобы стороны одинаково понимали, за какую сделку и за какой формат участия возникает вознаграждение.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На каких условиях мы работаем</w:t>
      </w:r>
    </w:p>
    <w:p>
      <w:pPr>
        <w:spacing w:before="0" w:after="120" w:line="264" w:lineRule="auto"/>
      </w:pPr>
      <w:r>
        <w:t>Вознаграждение за привлечение клиента и согласованный технический осмотр выплачивает Светон после того, как система доведена до результата и введена в эксплуатацию.</w:t>
      </w:r>
    </w:p>
    <w:p>
      <w:pPr>
        <w:spacing w:before="0" w:after="120" w:line="264" w:lineRule="auto"/>
      </w:pPr>
      <w:r>
        <w:t>Размер вознаграждения рассчитывается по номинальной мощности инвертора. Мощность аккумуляторных батарей в расчет не включается. Если мощность инвертора дробная, расчет выполняется пропорционально фактической номинальной мощности.</w:t>
      </w:r>
    </w:p>
    <w:p>
      <w:pPr>
        <w:spacing w:before="0" w:after="120" w:line="264" w:lineRule="auto"/>
      </w:pPr>
      <w:r>
        <w:t>Выплаты производятся только безналично по реквизитам партнера. Конкретные ставки, порядок расчета и юридические условия согласовываются после заполнения анкеты партнера и указываются в договоре при подписании.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Чего партнер не делает</w:t>
      </w:r>
    </w:p>
    <w:p>
      <w:pPr>
        <w:spacing w:before="0" w:after="120" w:line="264" w:lineRule="auto"/>
      </w:pPr>
      <w:r>
        <w:t>Партнер не является представителем Светон, не подписывает документы от имени Светон, не принимает обязательства перед клиентом за Светон и не согласует коммерческие условия от нашего имени.</w:t>
      </w:r>
    </w:p>
    <w:p>
      <w:pPr>
        <w:spacing w:before="0" w:after="120" w:line="264" w:lineRule="auto"/>
      </w:pPr>
      <w:r>
        <w:t>Светон самостоятельно ведет переговоры с клиентом, готовит коммерческое предложение, заключает договор, принимает оплату, поставляет оборудование и отвечает за согласованную с клиентом часть результата.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Как начать сотрудничество</w:t>
      </w:r>
    </w:p>
    <w:p>
      <w:pPr>
        <w:pStyle w:val="ListNumber"/>
        <w:spacing w:after="80" w:line="264" w:lineRule="auto"/>
      </w:pPr>
      <w:r>
        <w:t>Ознакомиться с партнерским предложением.</w:t>
      </w:r>
    </w:p>
    <w:p>
      <w:pPr>
        <w:pStyle w:val="ListNumber"/>
        <w:spacing w:after="80" w:line="264" w:lineRule="auto"/>
      </w:pPr>
      <w:r>
        <w:t>Заполнить анкету партнера.</w:t>
      </w:r>
    </w:p>
    <w:p>
      <w:pPr>
        <w:pStyle w:val="ListNumber"/>
        <w:spacing w:after="80" w:line="264" w:lineRule="auto"/>
      </w:pPr>
      <w:r>
        <w:t>Передать реквизиты для договора и выплат.</w:t>
      </w:r>
    </w:p>
    <w:p>
      <w:pPr>
        <w:pStyle w:val="ListNumber"/>
        <w:spacing w:after="80" w:line="264" w:lineRule="auto"/>
      </w:pPr>
      <w:r>
        <w:t>Согласовать формат участия и условия.</w:t>
      </w:r>
    </w:p>
    <w:p>
      <w:pPr>
        <w:pStyle w:val="ListNumber"/>
        <w:spacing w:after="80" w:line="264" w:lineRule="auto"/>
      </w:pPr>
      <w:r>
        <w:t>Подписать договор о привлечении и сопровождении клиентов.</w:t>
      </w:r>
    </w:p>
    <w:p>
      <w:pPr>
        <w:pStyle w:val="ListNumber"/>
        <w:spacing w:after="80" w:line="264" w:lineRule="auto"/>
      </w:pPr>
      <w:r>
        <w:t>Передавать клиентов или участвовать в сделках по согласованному порядку.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4B5"/>
          <w:sz w:val="26"/>
        </w:rPr>
        <w:t>Документы и ссылки</w:t>
      </w:r>
    </w:p>
    <w:p>
      <w:pPr>
        <w:spacing w:before="0" w:after="120" w:line="264" w:lineRule="auto"/>
      </w:pPr>
      <w:r>
        <w:t>К партнерскому предложению прикладываются:</w:t>
      </w:r>
    </w:p>
    <w:p>
      <w:pPr>
        <w:pStyle w:val="ListBullet"/>
        <w:spacing w:after="80" w:line="264" w:lineRule="auto"/>
      </w:pPr>
      <w:r>
        <w:t>договор о привлечении и сопровождении клиентов;</w:t>
      </w:r>
    </w:p>
    <w:p>
      <w:pPr>
        <w:pStyle w:val="ListBullet"/>
        <w:spacing w:after="80" w:line="264" w:lineRule="auto"/>
      </w:pPr>
      <w:r>
        <w:t>анкета партнера;</w:t>
      </w:r>
    </w:p>
    <w:p>
      <w:pPr>
        <w:pStyle w:val="ListBullet"/>
        <w:spacing w:after="80" w:line="264" w:lineRule="auto"/>
      </w:pPr>
      <w:r>
        <w:t>ссылка на сайт Светон.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6666"/>
        <w:sz w:val="16"/>
      </w:rPr>
      <w:t>Светон | партнерское предложение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