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</w:t>
      </w:r>
      <w:bookmarkStart w:id="4" w:name="_GoBack"/>
      <w:bookmarkEnd w:id="4"/>
      <w:r>
        <w:rPr>
          <w:rFonts w:hint="eastAsia"/>
        </w:rPr>
        <w:t>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法术伤害增加(限法杖)(乘算)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法术施法范围增加(限法杖)(加算)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法术施法疲劳消耗降低(限法杖)(乘算)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法术施法行动点消耗降低(限法杖)(加算)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盾牌调整：</w:t>
      </w:r>
    </w:p>
    <w:p>
      <w:pPr>
        <w:pStyle w:val="16"/>
        <w:numPr>
          <w:ilvl w:val="0"/>
          <w:numId w:val="83"/>
        </w:numPr>
        <w:ind w:left="1300" w:hanging="440" w:firstLineChars="0"/>
      </w:pPr>
      <w:r>
        <w:rPr>
          <w:rFonts w:hint="eastAsia"/>
        </w:rPr>
        <w:t>降低装备者承受的伤害。</w:t>
      </w:r>
    </w:p>
    <w:p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3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：闪电箭会一直弹，直到寻找不到目标为止（附近1格没有有效目标），每个单位最多弹1次，每次造成单位</w:t>
      </w:r>
      <w:r>
        <w:t>5%</w:t>
      </w:r>
      <w:r>
        <w:rPr>
          <w:rFonts w:hint="eastAsia"/>
        </w:rPr>
        <w:t>的基础生命值+</w:t>
      </w:r>
      <w:r>
        <w:t>10*</w:t>
      </w:r>
      <w:r>
        <w:rPr>
          <w:rFonts w:hint="eastAsia"/>
        </w:rPr>
        <w:t>（1</w:t>
      </w:r>
      <w:r>
        <w:t>+0.04*</w:t>
      </w:r>
      <w:r>
        <w:rPr>
          <w:rFonts w:hint="eastAsia"/>
        </w:rPr>
        <w:t>装备等级）点的伤害。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113"/>
  </w:num>
  <w:num w:numId="84">
    <w:abstractNumId w:val="38"/>
  </w:num>
  <w:num w:numId="85">
    <w:abstractNumId w:val="49"/>
  </w:num>
  <w:num w:numId="86">
    <w:abstractNumId w:val="15"/>
  </w:num>
  <w:num w:numId="87">
    <w:abstractNumId w:val="109"/>
  </w:num>
  <w:num w:numId="88">
    <w:abstractNumId w:val="112"/>
  </w:num>
  <w:num w:numId="89">
    <w:abstractNumId w:val="31"/>
  </w:num>
  <w:num w:numId="90">
    <w:abstractNumId w:val="93"/>
  </w:num>
  <w:num w:numId="91">
    <w:abstractNumId w:val="55"/>
  </w:num>
  <w:num w:numId="92">
    <w:abstractNumId w:val="97"/>
  </w:num>
  <w:num w:numId="93">
    <w:abstractNumId w:val="99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1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3720B77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22296</Words>
  <Characters>28839</Characters>
  <Lines>228</Lines>
  <Paragraphs>64</Paragraphs>
  <TotalTime>836</TotalTime>
  <ScaleCrop>false</ScaleCrop>
  <LinksUpToDate>false</LinksUpToDate>
  <CharactersWithSpaces>29418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2024-06-18T03:28:40Z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