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360"/>
        <w:jc w:val="center"/>
      </w:pPr>
      <w:r>
        <w:rPr>
          <w:b/>
        </w:rPr>
        <w:t>懒人装甲</w:t>
      </w:r>
    </w:p>
    <w:p>
      <w:pPr>
        <w:jc w:val="center"/>
      </w:pPr>
      <w:r>
        <w:rPr>
          <w:color w:val="4F6D66"/>
          <w:sz w:val="30"/>
        </w:rPr>
        <w:t>移动端 UI 产品化整合方案  V6.0</w:t>
      </w:r>
    </w:p>
    <w:p>
      <w:pPr>
        <w:jc w:val="center"/>
      </w:pPr>
      <w:r>
        <w:rPr>
          <w:color w:val="6F7478"/>
          <w:sz w:val="19"/>
        </w:rPr>
        <w:t>基于最终确认的浅色首页设计与 VNext v4.0 单一权威架构</w:t>
      </w:r>
    </w:p>
    <w:p>
      <w:pPr>
        <w:pStyle w:val="CaptionCustom"/>
        <w:jc w:val="center"/>
      </w:pPr>
      <w:r>
        <w:t>视觉参考：用户本轮选定效果图；实际页面不得使用虚假的运行计划或真实验收标识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57750" cy="543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03199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7750" cy="54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F6D66"/>
          <w:sz w:val="18"/>
        </w:rPr>
        <w:t>19 领域 · 原有 96 场景兼容 · 8 策略 · 外层 17 步 / 内层 15 步</w:t>
      </w:r>
    </w:p>
    <w:p>
      <w:pPr>
        <w:jc w:val="center"/>
      </w:pPr>
      <w:r>
        <w:rPr>
          <w:sz w:val="18"/>
        </w:rPr>
        <w:t>界面设计 / 页面交互 / 数据状态 / 接口映射 / Codex 实施与验收</w:t>
      </w:r>
    </w:p>
    <w:p>
      <w:r>
        <w:br w:type="page"/>
      </w:r>
    </w:p>
    <w:p>
      <w:pPr>
        <w:pStyle w:val="Heading1"/>
      </w:pPr>
      <w:r>
        <w:t>0. 本轮已确定的关键决策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/>
        </w:trPr>
        <w:tc>
          <w:tcPr>
            <w:tcW w:type="dxa" w:w="4791"/>
            <w:vAlign w:val="center"/>
            <w:shd w:fill="E9F0ED"/>
          </w:tcPr>
          <w:p>
            <w:pPr>
              <w:spacing w:after="40" w:before="40" w:line="274" w:lineRule="auto"/>
            </w:pPr>
            <w:r>
              <w:rPr>
                <w:b/>
                <w:color w:val="304C45"/>
                <w:sz w:val="16"/>
              </w:rPr>
            </w:r>
            <w:r>
              <w:rPr>
                <w:b/>
                <w:color w:val="304C45"/>
                <w:sz w:val="16"/>
              </w:rPr>
              <w:t>项目</w:t>
            </w:r>
          </w:p>
        </w:tc>
        <w:tc>
          <w:tcPr>
            <w:tcW w:type="dxa" w:w="4791"/>
            <w:vAlign w:val="center"/>
            <w:shd w:fill="E9F0ED"/>
          </w:tcPr>
          <w:p>
            <w:pPr>
              <w:spacing w:after="40" w:before="40" w:line="274" w:lineRule="auto"/>
            </w:pPr>
            <w:r>
              <w:rPr>
                <w:b/>
                <w:color w:val="304C45"/>
                <w:sz w:val="16"/>
              </w:rPr>
            </w:r>
            <w:r>
              <w:rPr>
                <w:b/>
                <w:color w:val="304C45"/>
                <w:sz w:val="16"/>
              </w:rPr>
              <w:t>最终决策</w:t>
            </w:r>
          </w:p>
        </w:tc>
      </w:tr>
      <w:tr>
        <w:tc>
          <w:tcPr>
            <w:tcW w:type="dxa" w:w="4791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顶部</w:t>
            </w:r>
          </w:p>
        </w:tc>
        <w:tc>
          <w:tcPr>
            <w:tcW w:type="dxa" w:w="4791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头像｜首页｜计划｜私密｜商城；无固定左侧 Rail、无传统底部 Tab Bar</w:t>
            </w:r>
          </w:p>
        </w:tc>
      </w:tr>
      <w:tr>
        <w:tc>
          <w:tcPr>
            <w:tcW w:type="dxa" w:w="4791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首页上半区</w:t>
            </w:r>
          </w:p>
        </w:tc>
        <w:tc>
          <w:tcPr>
            <w:tcW w:type="dxa" w:w="4791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「正在进行」轻量 3D 层叠卡片；右侧「查看全部」直达计划中心的运行筛选</w:t>
            </w:r>
          </w:p>
        </w:tc>
      </w:tr>
      <w:tr>
        <w:tc>
          <w:tcPr>
            <w:tcW w:type="dxa" w:w="4791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首页下半区</w:t>
            </w:r>
          </w:p>
        </w:tc>
        <w:tc>
          <w:tcPr>
            <w:tcW w:type="dxa" w:w="4791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「新建计划」；右侧仅在存在草稿时显示「继续创建 N ›」；四大空间和 19 领域场景树</w:t>
            </w:r>
          </w:p>
        </w:tc>
      </w:tr>
      <w:tr>
        <w:tc>
          <w:tcPr>
            <w:tcW w:type="dxa" w:w="4791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底部全局操作</w:t>
            </w:r>
          </w:p>
        </w:tc>
        <w:tc>
          <w:tcPr>
            <w:tcW w:type="dxa" w:w="4791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左「消息」｜中「搜索或问万事问」｜右「待办」</w:t>
            </w:r>
          </w:p>
        </w:tc>
      </w:tr>
      <w:tr>
        <w:tc>
          <w:tcPr>
            <w:tcW w:type="dxa" w:w="4791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计划中心</w:t>
            </w:r>
          </w:p>
        </w:tc>
        <w:tc>
          <w:tcPr>
            <w:tcW w:type="dxa" w:w="4791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「全部计划」与「执行记录」两个主栏目；不再单独设置草稿栏目或重复场景目录</w:t>
            </w:r>
          </w:p>
        </w:tc>
      </w:tr>
      <w:tr>
        <w:tc>
          <w:tcPr>
            <w:tcW w:type="dxa" w:w="4791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草稿</w:t>
            </w:r>
          </w:p>
        </w:tc>
        <w:tc>
          <w:tcPr>
            <w:tcW w:type="dxa" w:w="4791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创建流程自动保存；仅在首页出现「继续创建」快捷入口；已有正式未激活计划仍归计划中心</w:t>
            </w:r>
          </w:p>
        </w:tc>
      </w:tr>
      <w:tr>
        <w:tc>
          <w:tcPr>
            <w:tcW w:type="dxa" w:w="4791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待办</w:t>
            </w:r>
          </w:p>
        </w:tc>
        <w:tc>
          <w:tcPr>
            <w:tcW w:type="dxa" w:w="4791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统一容纳待审批、待确认、待处理异常、待核实；「审批」是待办的一种，不做两个入口</w:t>
            </w:r>
          </w:p>
        </w:tc>
      </w:tr>
      <w:tr>
        <w:tc>
          <w:tcPr>
            <w:tcW w:type="dxa" w:w="4791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消息</w:t>
            </w:r>
          </w:p>
        </w:tc>
        <w:tc>
          <w:tcPr>
            <w:tcW w:type="dxa" w:w="4791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负责告知计划动态、执行结果、连接与系统通知；已读不等于已处理待办</w:t>
            </w:r>
          </w:p>
        </w:tc>
      </w:tr>
      <w:tr>
        <w:tc>
          <w:tcPr>
            <w:tcW w:type="dxa" w:w="4791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AI</w:t>
            </w:r>
          </w:p>
        </w:tc>
        <w:tc>
          <w:tcPr>
            <w:tcW w:type="dxa" w:w="4791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搜索默认本地/服务端权限内检索，用户明确选中 AI 模式后才发起 AI 调用</w:t>
            </w:r>
          </w:p>
        </w:tc>
      </w:tr>
      <w:tr>
        <w:tc>
          <w:tcPr>
            <w:tcW w:type="dxa" w:w="4791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真相边界</w:t>
            </w:r>
          </w:p>
        </w:tc>
        <w:tc>
          <w:tcPr>
            <w:tcW w:type="dxa" w:w="4791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所有状态来自服务端权威数据；不可用、结果未知、仅沙箱已验收必须如实显示</w:t>
            </w:r>
          </w:p>
        </w:tc>
      </w:tr>
    </w:tbl>
    <w:p>
      <w:pPr>
        <w:spacing w:after="0"/>
      </w:pPr>
    </w:p>
    <w:p>
      <w:pPr>
        <w:pStyle w:val="Heading1"/>
      </w:pPr>
      <w:r>
        <w:t>1. 产品目标与结构边界</w:t>
      </w:r>
    </w:p>
    <w:p>
      <w:pPr/>
      <w:r>
        <w:t>首页回答三个问题：我的计划正在做什么？我要创建什么计划？哪些事情需要我处理？复杂性应隐藏在计划详情、创建向导和待办详情中，而不是堆积在首页。四个展示空间是目录映射，不得改写既有领域、场景身份；新增场景按合同与治理状态逐项开放，不以 160 个规划目标冒充 160 个可用场景。</w:t>
      </w:r>
    </w:p>
    <w:p>
      <w:pPr/>
      <w:r>
        <w:rPr>
          <w:b/>
        </w:rPr>
        <w:t>唯一后端主链</w:t>
      </w:r>
      <w:r>
        <w:t>：Scenario/Goal/Subject → FactDemand/SourceResolver → Observation/Candidate/Truth → Plan Offer → 不可变 PlanVersion → Strategy/ActionResolver → Risk/Approval → Execution → Verification/Reconciliation → Consumer Outcome/Audit → Availability/Replan。17 步是产品侧跨周期投影，单次执行仍保持已有内层 15 步。移动端不可复制 Plan、审批、Truth 或结果状态机。</w:t>
      </w:r>
    </w:p>
    <w:p>
      <w:pPr>
        <w:pStyle w:val="Heading1"/>
      </w:pPr>
      <w:r>
        <w:t>2. 全局信息架构与路由职责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</w:trPr>
        <w:tc>
          <w:tcPr>
            <w:tcW w:type="dxa" w:w="3194"/>
            <w:vAlign w:val="center"/>
            <w:shd w:fill="E9F0ED"/>
          </w:tcPr>
          <w:p>
            <w:pPr>
              <w:spacing w:after="40" w:before="40" w:line="274" w:lineRule="auto"/>
            </w:pPr>
            <w:r>
              <w:rPr>
                <w:b/>
                <w:color w:val="304C45"/>
                <w:sz w:val="16"/>
              </w:rPr>
            </w:r>
            <w:r>
              <w:rPr>
                <w:b/>
                <w:color w:val="304C45"/>
                <w:sz w:val="16"/>
              </w:rPr>
              <w:t>位置</w:t>
            </w:r>
          </w:p>
        </w:tc>
        <w:tc>
          <w:tcPr>
            <w:tcW w:type="dxa" w:w="3194"/>
            <w:vAlign w:val="center"/>
            <w:shd w:fill="E9F0ED"/>
          </w:tcPr>
          <w:p>
            <w:pPr>
              <w:spacing w:after="40" w:before="40" w:line="274" w:lineRule="auto"/>
            </w:pPr>
            <w:r>
              <w:rPr>
                <w:b/>
                <w:color w:val="304C45"/>
                <w:sz w:val="16"/>
              </w:rPr>
            </w:r>
            <w:r>
              <w:rPr>
                <w:b/>
                <w:color w:val="304C45"/>
                <w:sz w:val="16"/>
              </w:rPr>
              <w:t>用户目标</w:t>
            </w:r>
          </w:p>
        </w:tc>
        <w:tc>
          <w:tcPr>
            <w:tcW w:type="dxa" w:w="3194"/>
            <w:vAlign w:val="center"/>
            <w:shd w:fill="E9F0ED"/>
          </w:tcPr>
          <w:p>
            <w:pPr>
              <w:spacing w:after="40" w:before="40" w:line="274" w:lineRule="auto"/>
            </w:pPr>
            <w:r>
              <w:rPr>
                <w:b/>
                <w:color w:val="304C45"/>
                <w:sz w:val="16"/>
              </w:rPr>
            </w:r>
            <w:r>
              <w:rPr>
                <w:b/>
                <w:color w:val="304C45"/>
                <w:sz w:val="16"/>
              </w:rPr>
              <w:t>内容与明确不包含项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首页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快速掌握运行中计划与创建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运行卡片、场景树、条件性续建；不复制全局记录/待办列表</w:t>
            </w:r>
          </w:p>
        </w:tc>
      </w:tr>
      <w:tr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计划</w:t>
            </w:r>
          </w:p>
        </w:tc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管理已创建计划和回查结果</w:t>
            </w:r>
          </w:p>
        </w:tc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全部计划、状态筛选、执行记录、计划详情；不复制场景目录和草稿箱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私密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独立存放并授权敏感资料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仅在已实现设备端独立加密及安全门禁后开放真实存储；不等同登录 Token</w:t>
            </w:r>
          </w:p>
        </w:tc>
      </w:tr>
      <w:tr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商城</w:t>
            </w:r>
          </w:p>
        </w:tc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围绕计划处理商品与服务需求</w:t>
            </w:r>
          </w:p>
        </w:tc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采购意向、待核实报价、合法订单和售后；不代替计划执行引擎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消息（底部）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知道发生了什么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计划动态、执行事件、连接/系统通知；不在通知列表里直接绕过审批</w:t>
            </w:r>
          </w:p>
        </w:tc>
      </w:tr>
      <w:tr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搜索/万事问（底部）</w:t>
            </w:r>
          </w:p>
        </w:tc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查找或表达目标</w:t>
            </w:r>
          </w:p>
        </w:tc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默认搜索、明确切换 AI、计划内带上下文辅助；私密默认排除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待办（底部）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完成必须本人处理的事项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审批、确认、异常操作、核实；必须保留不同权威状态</w:t>
            </w:r>
          </w:p>
        </w:tc>
      </w:tr>
      <w:tr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头像</w:t>
            </w:r>
          </w:p>
        </w:tc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配置个人与系统</w:t>
            </w:r>
          </w:p>
        </w:tc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个人资料、连接、设备、数据权限、会员、通用设置、安全隐私、帮助与退出</w:t>
            </w:r>
          </w:p>
        </w:tc>
      </w:tr>
    </w:tbl>
    <w:p>
      <w:pPr>
        <w:spacing w:after="0"/>
      </w:pPr>
    </w:p>
    <w:p>
      <w:pPr/>
      <w:r>
        <w:rPr>
          <w:b/>
        </w:rPr>
        <w:t>导航原则</w:t>
      </w:r>
      <w:r>
        <w:t>：顶部五入口始终单行；小屏仅顶部胶囊水平滚动，头像固定。底部三个全局入口固定且能避让系统安全区和软键盘。创建向导、计划详情、消息详情、待办详情作为独立页面/覆盖层，由系统返回键正确回到来源位置。</w:t>
      </w:r>
    </w:p>
    <w:p>
      <w:pPr>
        <w:pStyle w:val="Heading1"/>
      </w:pPr>
      <w:r>
        <w:t>3. 首页：与最终参考图一致</w:t>
      </w:r>
    </w:p>
    <w:p>
      <w:pPr>
        <w:pStyle w:val="Heading2"/>
      </w:pPr>
      <w:r>
        <w:t>3.1 首屏结构</w:t>
      </w:r>
    </w:p>
    <w:p>
      <w:pPr>
        <w:pStyle w:val="CodeBlock"/>
        <w:shd w:fill="F1F5F3"/>
      </w:pPr>
      <w:r>
        <w:t>[头像] [首页] [计划] [私密] [商城]</w:t>
      </w:r>
    </w:p>
    <w:p>
      <w:pPr>
        <w:pStyle w:val="CodeBlock"/>
        <w:shd w:fill="F1F5F3"/>
      </w:pPr>
      <w:r>
        <w:t xml:space="preserve"> </w:t>
      </w:r>
    </w:p>
    <w:p>
      <w:pPr>
        <w:pStyle w:val="CodeBlock"/>
        <w:shd w:fill="F1F5F3"/>
      </w:pPr>
      <w:r>
        <w:t>正在进行                         查看全部 ›</w:t>
      </w:r>
    </w:p>
    <w:p>
      <w:pPr>
        <w:pStyle w:val="CodeBlock"/>
        <w:shd w:fill="F1F5F3"/>
      </w:pPr>
      <w:r>
        <w:t xml:space="preserve">        [左侧露出卡][主卡][右侧露出卡]</w:t>
      </w:r>
    </w:p>
    <w:p>
      <w:pPr>
        <w:pStyle w:val="CodeBlock"/>
        <w:shd w:fill="F1F5F3"/>
      </w:pPr>
      <w:r>
        <w:t xml:space="preserve">                  ●  ○  ○</w:t>
      </w:r>
    </w:p>
    <w:p>
      <w:pPr>
        <w:pStyle w:val="CodeBlock"/>
        <w:shd w:fill="F1F5F3"/>
      </w:pPr>
      <w:r>
        <w:t xml:space="preserve"> </w:t>
      </w:r>
    </w:p>
    <w:p>
      <w:pPr>
        <w:pStyle w:val="CodeBlock"/>
        <w:shd w:fill="F1F5F3"/>
      </w:pPr>
      <w:r>
        <w:t>新建计划                 继续创建 2 ›（有草稿才显示）</w:t>
      </w:r>
    </w:p>
    <w:p>
      <w:pPr>
        <w:pStyle w:val="CodeBlock"/>
        <w:shd w:fill="F1F5F3"/>
      </w:pPr>
      <w:r>
        <w:t>[我的生活] [我的财物] [我的事务] [我的工作] →</w:t>
      </w:r>
    </w:p>
    <w:p>
      <w:pPr>
        <w:pStyle w:val="CodeBlock"/>
        <w:shd w:fill="F1F5F3"/>
      </w:pPr>
      <w:r>
        <w:t>▾ 家庭                              ···  ＋</w:t>
      </w:r>
    </w:p>
    <w:p>
      <w:pPr>
        <w:pStyle w:val="CodeBlock"/>
        <w:shd w:fill="F1F5F3"/>
      </w:pPr>
      <w:r>
        <w:t xml:space="preserve">    家庭补给                        ···  ＋</w:t>
      </w:r>
    </w:p>
    <w:p>
      <w:pPr>
        <w:pStyle w:val="CodeBlock"/>
        <w:shd w:fill="F1F5F3"/>
      </w:pPr>
      <w:r>
        <w:t xml:space="preserve">    成员事项                        ···  ＋</w:t>
      </w:r>
    </w:p>
    <w:p>
      <w:pPr>
        <w:pStyle w:val="CodeBlock"/>
        <w:shd w:fill="F1F5F3"/>
      </w:pPr>
      <w:r>
        <w:t xml:space="preserve">    家庭日程                        ···  ＋</w:t>
      </w:r>
    </w:p>
    <w:p>
      <w:pPr>
        <w:pStyle w:val="CodeBlock"/>
        <w:shd w:fill="F1F5F3"/>
      </w:pPr>
      <w:r>
        <w:t>▾ 健康                              ···  ＋</w:t>
      </w:r>
    </w:p>
    <w:p>
      <w:pPr>
        <w:pStyle w:val="CodeBlock"/>
        <w:shd w:fill="F1F5F3"/>
      </w:pPr>
      <w:r>
        <w:t xml:space="preserve">    用药管理                        ···  ＋</w:t>
      </w:r>
    </w:p>
    <w:p>
      <w:pPr>
        <w:pStyle w:val="CodeBlock"/>
        <w:shd w:fill="F1F5F3"/>
      </w:pPr>
      <w:r>
        <w:t xml:space="preserve">    复诊跟进                        ···  ＋</w:t>
      </w:r>
    </w:p>
    <w:p>
      <w:pPr>
        <w:pStyle w:val="CodeBlock"/>
        <w:shd w:fill="F1F5F3"/>
      </w:pPr>
      <w:r>
        <w:t xml:space="preserve"> </w:t>
      </w:r>
    </w:p>
    <w:p>
      <w:pPr>
        <w:pStyle w:val="CodeBlock"/>
        <w:shd w:fill="F1F5F3"/>
      </w:pPr>
      <w:r>
        <w:t>[消息]      [✧ 搜索或问万事问]       [待办 3]</w:t>
      </w:r>
    </w:p>
    <w:p>
      <w:pPr>
        <w:spacing w:after="0"/>
      </w:pPr>
    </w:p>
    <w:p>
      <w:pPr>
        <w:pStyle w:val="Heading2"/>
      </w:pPr>
      <w:r>
        <w:t>3.2 「正在进行」卡片合同</w:t>
      </w:r>
    </w:p>
    <w:p>
      <w:pPr/>
      <w:r>
        <w:t>仅展示当前已安装且处于持续守护、实际执行、等待触发、等待用户介入等</w:t>
      </w:r>
      <w:r>
        <w:rPr>
          <w:b/>
        </w:rPr>
        <w:t>仍在管理中的</w:t>
      </w:r>
      <w:r>
        <w:t>计划；已暂停、已删除或已结束的非周期计划不混入。默认展现最多 3 张可滑动预览，卡片内容只含：计划图示/名称、准确的状态标签、与用户有关的一条最新事实或下一步、必要时的待处理标识。底部圆点数量应匹配实际可轮播数量；没有计划时显示干净空态和「创建第一个计划」。</w:t>
      </w:r>
    </w:p>
    <w:p>
      <w:pPr/>
      <w:r>
        <w:t>展示状态必须区别：</w:t>
      </w:r>
      <w:r>
        <w:rPr>
          <w:b/>
        </w:rPr>
        <w:t>正在执行</w:t>
      </w:r>
      <w:r>
        <w:t>（确实有 Execution）；</w:t>
      </w:r>
      <w:r>
        <w:rPr>
          <w:b/>
        </w:rPr>
        <w:t>持续跟进</w:t>
      </w:r>
      <w:r>
        <w:t>（启用守护、可能当前无 Execution）；</w:t>
      </w:r>
      <w:r>
        <w:rPr>
          <w:b/>
        </w:rPr>
        <w:t>等待触发</w:t>
      </w:r>
      <w:r>
        <w:t>；</w:t>
      </w:r>
      <w:r>
        <w:rPr>
          <w:b/>
        </w:rPr>
        <w:t>等待审批/确认</w:t>
      </w:r>
      <w:r>
        <w:t>；</w:t>
      </w:r>
      <w:r>
        <w:rPr>
          <w:b/>
        </w:rPr>
        <w:t>数据不足/来源失效</w:t>
      </w:r>
      <w:r>
        <w:t>；</w:t>
      </w:r>
      <w:r>
        <w:rPr>
          <w:b/>
        </w:rPr>
        <w:t>结果待核实</w:t>
      </w:r>
      <w:r>
        <w:t xml:space="preserve">。卡片点击进入该计划详情；卡片 </w:t>
      </w:r>
      <w:r>
        <w:rPr>
          <w:rFonts w:ascii="Noto Sans Mono CJK SC" w:hAnsi="Noto Sans Mono CJK SC"/>
          <w:color w:val="334B4A"/>
          <w:sz w:val="16"/>
        </w:rPr>
        <w:t>···</w:t>
      </w:r>
      <w:r>
        <w:t xml:space="preserve"> 只提供安全操作，如查看详情、置顶、暂停（需二次确认）；真正的高风险审批仍跳转待办详情。右侧「查看全部」进入计划中心并预设「运行/管理中」筛选，不能错误地只检索正在执行的瞬时任务。</w:t>
      </w:r>
    </w:p>
    <w:p>
      <w:pPr/>
      <w:r>
        <w:t>视觉：浅暖白背景、少量真实素材/抽象插画，主卡突出、侧卡仅部分露出；不要为每一个目录场景制作复杂 3D 图片。不论是否滑动，文本可读；系统设置减少动态效果时退化为平面横向列表。</w:t>
      </w:r>
    </w:p>
    <w:p>
      <w:pPr>
        <w:pStyle w:val="Heading2"/>
      </w:pPr>
      <w:r>
        <w:t>3.3 「新建计划」目录合同</w:t>
      </w:r>
    </w:p>
    <w:p>
      <w:pPr/>
      <w:r>
        <w:t>四大空间</w:t>
      </w:r>
      <w:r>
        <w:rPr>
          <w:b/>
        </w:rPr>
        <w:t>固定</w:t>
      </w:r>
      <w:r>
        <w:t xml:space="preserve">为「我的生活、我的财物、我的事务、我的工作」；其下映射现有 19 领域。领域点击箭头展开/收起场景，场景名称点击进入简介、可用能力、已有计划概览；场景 </w:t>
      </w:r>
      <w:r>
        <w:rPr>
          <w:rFonts w:ascii="Noto Sans Mono CJK SC" w:hAnsi="Noto Sans Mono CJK SC"/>
          <w:color w:val="334B4A"/>
          <w:sz w:val="16"/>
        </w:rPr>
        <w:t>＋</w:t>
      </w:r>
      <w:r>
        <w:t xml:space="preserve"> 直达带场景上下文的统一创建向导；领域 </w:t>
      </w:r>
      <w:r>
        <w:rPr>
          <w:rFonts w:ascii="Noto Sans Mono CJK SC" w:hAnsi="Noto Sans Mono CJK SC"/>
          <w:color w:val="334B4A"/>
          <w:sz w:val="16"/>
        </w:rPr>
        <w:t>＋</w:t>
      </w:r>
      <w:r>
        <w:t xml:space="preserve"> 先选该领域的场景再进入向导。</w:t>
      </w:r>
      <w:r>
        <w:rPr>
          <w:rFonts w:ascii="Noto Sans Mono CJK SC" w:hAnsi="Noto Sans Mono CJK SC"/>
          <w:color w:val="334B4A"/>
          <w:sz w:val="16"/>
        </w:rPr>
        <w:t>···</w:t>
      </w:r>
      <w:r>
        <w:t xml:space="preserve"> 是特定对象的更多操作（能力介绍、收藏、排序或已有计划），不允许三个不同位置出现含糊的同名「创建」。</w:t>
      </w:r>
    </w:p>
    <w:p>
      <w:pPr/>
      <w:r>
        <w:t>没有草稿时「新建计划」标题右侧为空；有 1 份草稿显示「继续创建 ›」并恢复该草稿；有多份显示「继续创建 N ›」打开精简草稿选择层。正式创建成功后，草稿从列表移除或标记已完成，计划进入计划中心。</w:t>
      </w:r>
    </w:p>
    <w:p>
      <w:pPr>
        <w:pStyle w:val="Heading1"/>
      </w:pPr>
      <w:r>
        <w:t>4. 计划中心与计划详情</w:t>
      </w:r>
    </w:p>
    <w:p>
      <w:pPr>
        <w:pStyle w:val="Heading2"/>
      </w:pPr>
      <w:r>
        <w:t>4.1 计划中心主页面</w:t>
      </w:r>
    </w:p>
    <w:p>
      <w:pPr/>
      <w:r>
        <w:t>标题「我的计划」，可选紧凑概况（全部数量、管理中数量、需要关注数量，均使用实际数据）；两个主栏目：</w:t>
      </w:r>
      <w:r>
        <w:rPr>
          <w:b/>
        </w:rPr>
        <w:t>全部计划｜执行记录</w:t>
      </w:r>
      <w:r>
        <w:t>。全部计划内的二级筛选：全部、管理中、等待中、已暂停、已结束；支持仅本人/当前空间/关键词等筛选时，不能改变计划的真实权限边界。</w:t>
      </w:r>
    </w:p>
    <w:p>
      <w:pPr/>
      <w:r>
        <w:t>每条计划只显示名称、管理对象的脱敏摘要、准确状态、下一步与最近更新时间。支持批量展示但批量暂停、授权或删除必须按后端能力与风险规则逐项确认。首次打开首页「查看全部」时自动选「管理中」；直接点击顶部「计划」时显示用户上一次筛选或默认全部。</w:t>
      </w:r>
    </w:p>
    <w:p>
      <w:pPr/>
      <w:r>
        <w:rPr>
          <w:b/>
        </w:rPr>
        <w:t>不设第三个草稿栏目</w:t>
      </w:r>
      <w:r>
        <w:t>；创建后尚未启用的 Draft Plan（已在服务端形成正式 Plan ID）仍属于计划中心，创建流程中未完成的 UI 草稿才属于首页「继续创建」。</w:t>
      </w:r>
    </w:p>
    <w:p>
      <w:pPr>
        <w:pStyle w:val="Heading2"/>
      </w:pPr>
      <w:r>
        <w:t>4.2 计划详情</w:t>
      </w:r>
    </w:p>
    <w:p>
      <w:pPr/>
      <w:r>
        <w:t xml:space="preserve">顶部显示名称、当前状态、管理对象与安全 </w:t>
      </w:r>
      <w:r>
        <w:rPr>
          <w:rFonts w:ascii="Noto Sans Mono CJK SC" w:hAnsi="Noto Sans Mono CJK SC"/>
          <w:color w:val="334B4A"/>
          <w:sz w:val="16"/>
        </w:rPr>
        <w:t>···</w:t>
      </w:r>
      <w:r>
        <w:t>；首屏始终优先显示「当前情况」和</w:t>
      </w:r>
      <w:r>
        <w:rPr>
          <w:b/>
        </w:rPr>
        <w:t>「下一步」</w:t>
      </w:r>
      <w:r>
        <w:t>（等待触发、需要重新授权、去待办确认、等待只读对账等）。以下折叠区域依次为：计划目标与版本、数据来源和新鲜度、执行策略与自动化权限、最近执行、全部执行记录、展开的 17 步计划流程。15 步仅在「执行诊断/高级记录」中针对某一次 Execution 展示，不把所有技术步骤铺在首屏。</w:t>
      </w:r>
    </w:p>
    <w:p>
      <w:pPr/>
      <w:r>
        <w:t>操作：暂停/恢复、调整目标或周期、重新规划、删除计划。涉及目标、管理对象、来源敏感性、风险或权限边界的实质变更只能经现有 Availability/Replan → 新 Offer → 新 PlanVersion / 必要审批。历史执行、旧版本及其审计保持可回查。</w:t>
      </w:r>
    </w:p>
    <w:p>
      <w:pPr>
        <w:pStyle w:val="Heading2"/>
      </w:pPr>
      <w:r>
        <w:t>4.3 执行记录</w:t>
      </w:r>
    </w:p>
    <w:p>
      <w:pPr/>
      <w:r>
        <w:t>全局执行记录为跨计划时间线，按服务端时间排序，提供「全部、成功、处理中、失败、待确认、待核实」等筛选；不要用“成功”覆盖业务没有完成的情况。点击进入执行详情：发生了什么、基于何种事实、执行了哪一步、审批证据、业务结果与来源、重试/只读对账状态、关联计划。通知发送成功≠快递签收；提醒成功≠耗材已更换；财务报表生成≠全部交易已对账。</w:t>
      </w:r>
    </w:p>
    <w:p>
      <w:pPr>
        <w:pStyle w:val="Heading1"/>
      </w:pPr>
      <w:r>
        <w:t>5. 底部三个全局入口</w:t>
      </w:r>
    </w:p>
    <w:p>
      <w:pPr>
        <w:pStyle w:val="Heading2"/>
      </w:pPr>
      <w:r>
        <w:t>5.1 消息中心</w:t>
      </w:r>
    </w:p>
    <w:p>
      <w:pPr/>
      <w:r>
        <w:t>消息代表</w:t>
      </w:r>
      <w:r>
        <w:rPr>
          <w:b/>
        </w:rPr>
        <w:t>事件告知</w:t>
      </w:r>
      <w:r>
        <w:t>。栏目建议「全部、计划动态、系统通知」；每条通知包含时间、关联计划/对象、准确摘要和可选的「去处理」。可读、可归档；消息已读不等于待办完成；计划执行记录才是可回查的权威历史，不能把通知送达当业务完成。消息数量角标代表未读消息数，待办角标独立统计未完成事项，避免双重计数。</w:t>
      </w:r>
    </w:p>
    <w:p>
      <w:pPr>
        <w:pStyle w:val="Heading2"/>
      </w:pPr>
      <w:r>
        <w:t>5.2 统一搜索与万事问 AI</w:t>
      </w:r>
    </w:p>
    <w:p>
      <w:pPr/>
      <w:r>
        <w:t>底部中间始终是一个大输入框「搜索或问万事问」。点击进入统一界面，</w:t>
      </w:r>
      <w:r>
        <w:rPr>
          <w:b/>
        </w:rPr>
        <w:t>默认搜索</w:t>
      </w:r>
      <w:r>
        <w:t>：当前用户可见的计划、场景、非私密执行记录和通知；结果按「我的计划、相关场景、执行记录、消息」分组，并直达页面。搜索文本不自动上传给模型。</w:t>
      </w:r>
    </w:p>
    <w:p>
      <w:pPr/>
      <w:r>
        <w:t>用户明确点击「问万事问」后切到 AI 工作区；AI 能协助目标澄清、解释来源缺口、从已有 FactDemand/SourceResolver/Plan Offer 给出受控建议，并可以生成计划草稿，但不能根据模型回答直接宣布数据已验证或动作已执行。进入具体计划后可按最小权限携带该计划的非敏感上下文；私密默认无法被全局搜索、AI、商城读取。模型不可用或仍接 fixture 时显示「AI 暂不可用／演示能力」，正常搜索继续工作，不出现伪造 AI 结果。</w:t>
      </w:r>
    </w:p>
    <w:p>
      <w:pPr>
        <w:pStyle w:val="Heading2"/>
      </w:pPr>
      <w:r>
        <w:t>5.3 待办中心</w:t>
      </w:r>
    </w:p>
    <w:p>
      <w:pPr/>
      <w:r>
        <w:t>入口名称固定为</w:t>
      </w:r>
      <w:r>
        <w:rPr>
          <w:b/>
        </w:rPr>
        <w:t>「待办」</w:t>
      </w:r>
      <w:r>
        <w:t>，不是「审批/待办」。主栏目「待处理、已完成、全部」；待处理下有筛选「待审批、待确认、待处理异常、待核实」。每项明确说明：关联计划、请求操作、对象/目标、风险摘要、有效期、需要用户采取的下一步。</w:t>
      </w:r>
    </w:p>
    <w:p>
      <w:pPr/>
      <w:r>
        <w:t>审批详情展示动作、接收方/平台、允许操作及金额或敏感字段（如适用）、授权期限、可验证结果、拒绝后果；批准/拒绝必须调用</w:t>
      </w:r>
      <w:r>
        <w:rPr>
          <w:b/>
        </w:rPr>
        <w:t>已有 Risk/Approval 权威接口</w:t>
      </w:r>
      <w:r>
        <w:t>，操作前复验当前 PlanVersion、授权/来源、审批有效期；不能只靠前端把待办标记为已完成。对于未知执行结果，只允许只读核对或明确的人工处理，不能按钮一按便重发可能产生副作用的操作。消息可链接到待办，但待办不依赖消息是否已读。</w:t>
      </w:r>
    </w:p>
    <w:p>
      <w:pPr>
        <w:pStyle w:val="Heading1"/>
      </w:pPr>
      <w:r>
        <w:t>6. 新建计划：五屏用户向导与自动草稿</w:t>
      </w:r>
    </w:p>
    <w:p>
      <w:pPr/>
      <w:r>
        <w:t>面向普通用户显示五阶段，不把全部外层 17 步照搬到创建页：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</w:trPr>
        <w:tc>
          <w:tcPr>
            <w:tcW w:type="dxa" w:w="3194"/>
            <w:vAlign w:val="center"/>
            <w:shd w:fill="E9F0ED"/>
          </w:tcPr>
          <w:p>
            <w:pPr>
              <w:spacing w:after="40" w:before="40" w:line="274" w:lineRule="auto"/>
            </w:pPr>
            <w:r>
              <w:rPr>
                <w:b/>
                <w:color w:val="304C45"/>
                <w:sz w:val="16"/>
              </w:rPr>
            </w:r>
            <w:r>
              <w:rPr>
                <w:b/>
                <w:color w:val="304C45"/>
                <w:sz w:val="16"/>
              </w:rPr>
              <w:t>创建阶段</w:t>
            </w:r>
          </w:p>
        </w:tc>
        <w:tc>
          <w:tcPr>
            <w:tcW w:type="dxa" w:w="3194"/>
            <w:vAlign w:val="center"/>
            <w:shd w:fill="E9F0ED"/>
          </w:tcPr>
          <w:p>
            <w:pPr>
              <w:spacing w:after="40" w:before="40" w:line="274" w:lineRule="auto"/>
            </w:pPr>
            <w:r>
              <w:rPr>
                <w:b/>
                <w:color w:val="304C45"/>
                <w:sz w:val="16"/>
              </w:rPr>
            </w:r>
            <w:r>
              <w:rPr>
                <w:b/>
                <w:color w:val="304C45"/>
                <w:sz w:val="16"/>
              </w:rPr>
              <w:t>用户看到什么</w:t>
            </w:r>
          </w:p>
        </w:tc>
        <w:tc>
          <w:tcPr>
            <w:tcW w:type="dxa" w:w="3194"/>
            <w:vAlign w:val="center"/>
            <w:shd w:fill="E9F0ED"/>
          </w:tcPr>
          <w:p>
            <w:pPr>
              <w:spacing w:after="40" w:before="40" w:line="274" w:lineRule="auto"/>
            </w:pPr>
            <w:r>
              <w:rPr>
                <w:b/>
                <w:color w:val="304C45"/>
                <w:sz w:val="16"/>
              </w:rPr>
            </w:r>
            <w:r>
              <w:rPr>
                <w:b/>
                <w:color w:val="304C45"/>
                <w:sz w:val="16"/>
              </w:rPr>
              <w:t>后端和严格边界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1 选择目标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已选场景、目标意图、希望得到的结果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版本化 Scenario Contract；场景不支持时说明原因</w:t>
            </w:r>
          </w:p>
        </w:tc>
      </w:tr>
      <w:tr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2 确定对象</w:t>
            </w:r>
          </w:p>
        </w:tc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具体包裹、账户/币种/周期、设备或家庭管理对象</w:t>
            </w:r>
          </w:p>
        </w:tc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GoalSpec + ResourceSubject；严格归属隔离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3 检查来源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可用来源、需授权/需导入、数据新鲜度和隐私影响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FactDemand + SourceResolver + Reality Pipeline；候选不等于 Truth</w:t>
            </w:r>
          </w:p>
        </w:tc>
      </w:tr>
      <w:tr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4 选择方案</w:t>
            </w:r>
          </w:p>
        </w:tc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可兑现的 Offer、业务操作步骤、权限/费用/风险/验证与替代路径</w:t>
            </w:r>
          </w:p>
        </w:tc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多个有依据的 Offer；不可执行的方案标明人工或待接入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5 确认创建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清晰目标、来源、自动化边界、需人工审批及版本摘要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复验选择，持久化 Offer → Plan/不可变 PlanVersion；不得偷偷启用高风险操作</w:t>
            </w:r>
          </w:p>
        </w:tc>
      </w:tr>
    </w:tbl>
    <w:p>
      <w:pPr>
        <w:spacing w:after="0"/>
      </w:pPr>
    </w:p>
    <w:p>
      <w:pPr/>
      <w:r>
        <w:t>草稿只保存向导中已填写、且用户允许保存的必要信息；自动保存采用防抖与离页保存，显示「已保存/保存失败」；离线仅可暂存经审查允许保存在设备上的非敏感信息，</w:t>
      </w:r>
      <w:r>
        <w:rPr>
          <w:b/>
        </w:rPr>
        <w:t>不得</w:t>
      </w:r>
      <w:r>
        <w:t>把原始密码、完整银行账单或尚未审计的敏感文件塞入 AsyncStorage。继续创建时必须重新检查 Offer TTL、授权、新鲜度和功能治理状态；过期方案要求重新生成，而不是沿用旧审批。</w:t>
      </w:r>
    </w:p>
    <w:p>
      <w:pPr/>
      <w:r>
        <w:t>8 个原有 StrategyProfile（</w:t>
      </w:r>
      <w:r>
        <w:rPr>
          <w:rFonts w:ascii="Noto Sans Mono CJK SC" w:hAnsi="Noto Sans Mono CJK SC"/>
          <w:color w:val="334B4A"/>
          <w:sz w:val="16"/>
        </w:rPr>
        <w:t>STATE_GUARD</w:t>
      </w:r>
      <w:r>
        <w:t>、</w:t>
      </w:r>
      <w:r>
        <w:rPr>
          <w:rFonts w:ascii="Noto Sans Mono CJK SC" w:hAnsi="Noto Sans Mono CJK SC"/>
          <w:color w:val="334B4A"/>
          <w:sz w:val="16"/>
        </w:rPr>
        <w:t>EXPIRY_GUARD</w:t>
      </w:r>
      <w:r>
        <w:t>、</w:t>
      </w:r>
      <w:r>
        <w:rPr>
          <w:rFonts w:ascii="Noto Sans Mono CJK SC" w:hAnsi="Noto Sans Mono CJK SC"/>
          <w:color w:val="334B4A"/>
          <w:sz w:val="16"/>
        </w:rPr>
        <w:t>ANOMALY_DETECTION</w:t>
      </w:r>
      <w:r>
        <w:t>、</w:t>
      </w:r>
      <w:r>
        <w:rPr>
          <w:rFonts w:ascii="Noto Sans Mono CJK SC" w:hAnsi="Noto Sans Mono CJK SC"/>
          <w:color w:val="334B4A"/>
          <w:sz w:val="16"/>
        </w:rPr>
        <w:t>SILENT_FOLLOW_UP</w:t>
      </w:r>
      <w:r>
        <w:t>、</w:t>
      </w:r>
      <w:r>
        <w:rPr>
          <w:rFonts w:ascii="Noto Sans Mono CJK SC" w:hAnsi="Noto Sans Mono CJK SC"/>
          <w:color w:val="334B4A"/>
          <w:sz w:val="16"/>
        </w:rPr>
        <w:t>PERIODIC_SUMMARY</w:t>
      </w:r>
      <w:r>
        <w:t>、</w:t>
      </w:r>
      <w:r>
        <w:rPr>
          <w:rFonts w:ascii="Noto Sans Mono CJK SC" w:hAnsi="Noto Sans Mono CJK SC"/>
          <w:color w:val="334B4A"/>
          <w:sz w:val="16"/>
        </w:rPr>
        <w:t>PREDICTIVE_PREPARE</w:t>
      </w:r>
      <w:r>
        <w:t>、</w:t>
      </w:r>
      <w:r>
        <w:rPr>
          <w:rFonts w:ascii="Noto Sans Mono CJK SC" w:hAnsi="Noto Sans Mono CJK SC"/>
          <w:color w:val="334B4A"/>
          <w:sz w:val="16"/>
        </w:rPr>
        <w:t>ASSISTED_ACTION</w:t>
      </w:r>
      <w:r>
        <w:t>、</w:t>
      </w:r>
      <w:r>
        <w:rPr>
          <w:rFonts w:ascii="Noto Sans Mono CJK SC" w:hAnsi="Noto Sans Mono CJK SC"/>
          <w:color w:val="334B4A"/>
          <w:sz w:val="16"/>
        </w:rPr>
        <w:t>AUTOMATED_ACTION</w:t>
      </w:r>
      <w:r>
        <w:t>）保持后端兼容。面向用户的方案文案应说清「分析、总结、跟进、预测、准备、提醒、执行」等实际业务操作，并独立展示执行授权程度，不能把策略和自动化权限混称。</w:t>
      </w:r>
    </w:p>
    <w:p>
      <w:pPr>
        <w:pStyle w:val="Heading1"/>
      </w:pPr>
      <w:r>
        <w:t>7. 头像、私密与商城的页面边界</w:t>
      </w:r>
    </w:p>
    <w:p>
      <w:pPr/>
      <w:r>
        <w:t>头像按三组：账号（个人资料、会员与服务）、能力（我的连接、我的设备、数据与权限）、设置（通知设置、通用设置、安全与隐私、帮助/反馈、退出登录）。通知设置在头像，通知内容在底部消息；计划管理不进头像；商城订单在商城，不混入会员账单。</w:t>
      </w:r>
    </w:p>
    <w:p>
      <w:pPr/>
      <w:r>
        <w:rPr>
          <w:b/>
        </w:rPr>
        <w:t>私密</w:t>
      </w:r>
      <w:r>
        <w:t>保留顶部独立入口，但只有通过专门安全建设后才允许真实敏感数据录入：本地加密、独立解锁、最小用途 VaultGrant、锁态不可搜索、撤权和恢复测试。现有服务端 Credential 或登录 Token 不得冒充私密保险库。如果这部分尚未实现，页面应说明「功能建设中」，不展示假加密承诺。</w:t>
      </w:r>
    </w:p>
    <w:p>
      <w:pPr/>
      <w:r>
        <w:rPr>
          <w:b/>
        </w:rPr>
        <w:t>商城</w:t>
      </w:r>
      <w:r>
        <w:t>作为计划产生的真实采购需求延伸：清单准备、规格/库存/报价核验、用户确认、合法订单/支付渠道、结果回读与售后。未接入真实商家时只展示需求/清单和待接入能力，禁止假价格、假订单成功和未经批准的自动购买；待办可承接采购确认，但订单历史应留在商城内。</w:t>
      </w:r>
    </w:p>
    <w:p>
      <w:pPr>
        <w:pStyle w:val="Heading1"/>
      </w:pPr>
      <w:r>
        <w:t>8. 完整的 19 领域与目录兼容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91"/>
        <w:gridCol w:w="4791"/>
      </w:tblGrid>
      <w:tr>
        <w:trPr>
          <w:tblHeader/>
        </w:trPr>
        <w:tc>
          <w:tcPr>
            <w:tcW w:type="dxa" w:w="4791"/>
            <w:vAlign w:val="center"/>
            <w:shd w:fill="E9F0ED"/>
          </w:tcPr>
          <w:p>
            <w:pPr>
              <w:spacing w:after="40" w:before="40" w:line="274" w:lineRule="auto"/>
            </w:pPr>
            <w:r>
              <w:rPr>
                <w:b/>
                <w:color w:val="304C45"/>
                <w:sz w:val="16"/>
              </w:rPr>
            </w:r>
            <w:r>
              <w:rPr>
                <w:b/>
                <w:color w:val="304C45"/>
                <w:sz w:val="16"/>
              </w:rPr>
              <w:t>展示空间</w:t>
            </w:r>
          </w:p>
        </w:tc>
        <w:tc>
          <w:tcPr>
            <w:tcW w:type="dxa" w:w="4791"/>
            <w:vAlign w:val="center"/>
            <w:shd w:fill="E9F0ED"/>
          </w:tcPr>
          <w:p>
            <w:pPr>
              <w:spacing w:after="40" w:before="40" w:line="274" w:lineRule="auto"/>
            </w:pPr>
            <w:r>
              <w:rPr>
                <w:b/>
                <w:color w:val="304C45"/>
                <w:sz w:val="16"/>
              </w:rPr>
            </w:r>
            <w:r>
              <w:rPr>
                <w:b/>
                <w:color w:val="304C45"/>
                <w:sz w:val="16"/>
              </w:rPr>
              <w:t>包含领域（保持原内部 domainKey）</w:t>
            </w:r>
          </w:p>
        </w:tc>
      </w:tr>
      <w:tr>
        <w:tc>
          <w:tcPr>
            <w:tcW w:type="dxa" w:w="4791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我的生活</w:t>
            </w:r>
          </w:p>
        </w:tc>
        <w:tc>
          <w:tcPr>
            <w:tcW w:type="dxa" w:w="4791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日常事务 </w:t>
            </w:r>
            <w:r>
              <w:rPr>
                <w:rFonts w:ascii="Noto Sans Mono CJK SC" w:hAnsi="Noto Sans Mono CJK SC"/>
                <w:color w:val="334B4A"/>
                <w:sz w:val="16"/>
              </w:rPr>
              <w:t>daily_life</w:t>
            </w:r>
            <w:r>
              <w:rPr>
                <w:sz w:val="16"/>
              </w:rPr>
              <w:t xml:space="preserve">、家庭 </w:t>
            </w:r>
            <w:r>
              <w:rPr>
                <w:rFonts w:ascii="Noto Sans Mono CJK SC" w:hAnsi="Noto Sans Mono CJK SC"/>
                <w:color w:val="334B4A"/>
                <w:sz w:val="16"/>
              </w:rPr>
              <w:t>family</w:t>
            </w:r>
            <w:r>
              <w:rPr>
                <w:sz w:val="16"/>
              </w:rPr>
              <w:t xml:space="preserve">、健康 </w:t>
            </w:r>
            <w:r>
              <w:rPr>
                <w:rFonts w:ascii="Noto Sans Mono CJK SC" w:hAnsi="Noto Sans Mono CJK SC"/>
                <w:color w:val="334B4A"/>
                <w:sz w:val="16"/>
              </w:rPr>
              <w:t>health</w:t>
            </w:r>
            <w:r>
              <w:rPr>
                <w:sz w:val="16"/>
              </w:rPr>
              <w:t xml:space="preserve">、社交关系 </w:t>
            </w:r>
            <w:r>
              <w:rPr>
                <w:rFonts w:ascii="Noto Sans Mono CJK SC" w:hAnsi="Noto Sans Mono CJK SC"/>
                <w:color w:val="334B4A"/>
                <w:sz w:val="16"/>
              </w:rPr>
              <w:t>social</w:t>
            </w:r>
            <w:r>
              <w:rPr>
                <w:sz w:val="16"/>
              </w:rPr>
              <w:t xml:space="preserve">、宠物 </w:t>
            </w:r>
            <w:r>
              <w:rPr>
                <w:rFonts w:ascii="Noto Sans Mono CJK SC" w:hAnsi="Noto Sans Mono CJK SC"/>
                <w:color w:val="334B4A"/>
                <w:sz w:val="16"/>
              </w:rPr>
              <w:t>pet</w:t>
            </w:r>
            <w:r>
              <w:rPr>
                <w:sz w:val="16"/>
              </w:rPr>
              <w:t xml:space="preserve">、出行 </w:t>
            </w:r>
            <w:r>
              <w:rPr>
                <w:rFonts w:ascii="Noto Sans Mono CJK SC" w:hAnsi="Noto Sans Mono CJK SC"/>
                <w:color w:val="334B4A"/>
                <w:sz w:val="16"/>
              </w:rPr>
              <w:t>travel</w:t>
            </w:r>
            <w:r>
              <w:rPr>
                <w:sz w:val="16"/>
              </w:rPr>
              <w:t xml:space="preserve">、休闲娱乐 </w:t>
            </w:r>
            <w:r>
              <w:rPr>
                <w:rFonts w:ascii="Noto Sans Mono CJK SC" w:hAnsi="Noto Sans Mono CJK SC"/>
                <w:color w:val="334B4A"/>
                <w:sz w:val="16"/>
              </w:rPr>
              <w:t>entertainment</w:t>
            </w:r>
          </w:p>
        </w:tc>
      </w:tr>
      <w:tr>
        <w:tc>
          <w:tcPr>
            <w:tcW w:type="dxa" w:w="4791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我的财物</w:t>
            </w:r>
          </w:p>
        </w:tc>
        <w:tc>
          <w:tcPr>
            <w:tcW w:type="dxa" w:w="4791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财务 </w:t>
            </w:r>
            <w:r>
              <w:rPr>
                <w:rFonts w:ascii="Noto Sans Mono CJK SC" w:hAnsi="Noto Sans Mono CJK SC"/>
                <w:color w:val="334B4A"/>
                <w:sz w:val="16"/>
              </w:rPr>
              <w:t>finance</w:t>
            </w:r>
            <w:r>
              <w:rPr>
                <w:sz w:val="16"/>
              </w:rPr>
              <w:t xml:space="preserve">、住房 </w:t>
            </w:r>
            <w:r>
              <w:rPr>
                <w:rFonts w:ascii="Noto Sans Mono CJK SC" w:hAnsi="Noto Sans Mono CJK SC"/>
                <w:color w:val="334B4A"/>
                <w:sz w:val="16"/>
              </w:rPr>
              <w:t>housing</w:t>
            </w:r>
            <w:r>
              <w:rPr>
                <w:sz w:val="16"/>
              </w:rPr>
              <w:t xml:space="preserve">、车辆 </w:t>
            </w:r>
            <w:r>
              <w:rPr>
                <w:rFonts w:ascii="Noto Sans Mono CJK SC" w:hAnsi="Noto Sans Mono CJK SC"/>
                <w:color w:val="334B4A"/>
                <w:sz w:val="16"/>
              </w:rPr>
              <w:t>vehicle</w:t>
            </w:r>
            <w:r>
              <w:rPr>
                <w:sz w:val="16"/>
              </w:rPr>
              <w:t xml:space="preserve">、设备 </w:t>
            </w:r>
            <w:r>
              <w:rPr>
                <w:rFonts w:ascii="Noto Sans Mono CJK SC" w:hAnsi="Noto Sans Mono CJK SC"/>
                <w:color w:val="334B4A"/>
                <w:sz w:val="16"/>
              </w:rPr>
              <w:t>device</w:t>
            </w:r>
            <w:r>
              <w:rPr>
                <w:sz w:val="16"/>
              </w:rPr>
              <w:t xml:space="preserve">、数字账号 </w:t>
            </w:r>
            <w:r>
              <w:rPr>
                <w:rFonts w:ascii="Noto Sans Mono CJK SC" w:hAnsi="Noto Sans Mono CJK SC"/>
                <w:color w:val="334B4A"/>
                <w:sz w:val="16"/>
              </w:rPr>
              <w:t>digital_account</w:t>
            </w:r>
          </w:p>
        </w:tc>
      </w:tr>
      <w:tr>
        <w:tc>
          <w:tcPr>
            <w:tcW w:type="dxa" w:w="4791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我的事务</w:t>
            </w:r>
          </w:p>
        </w:tc>
        <w:tc>
          <w:tcPr>
            <w:tcW w:type="dxa" w:w="4791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证件 </w:t>
            </w:r>
            <w:r>
              <w:rPr>
                <w:rFonts w:ascii="Noto Sans Mono CJK SC" w:hAnsi="Noto Sans Mono CJK SC"/>
                <w:color w:val="334B4A"/>
                <w:sz w:val="16"/>
              </w:rPr>
              <w:t>identity_docs</w:t>
            </w:r>
            <w:r>
              <w:rPr>
                <w:sz w:val="16"/>
              </w:rPr>
              <w:t xml:space="preserve">、政务 </w:t>
            </w:r>
            <w:r>
              <w:rPr>
                <w:rFonts w:ascii="Noto Sans Mono CJK SC" w:hAnsi="Noto Sans Mono CJK SC"/>
                <w:color w:val="334B4A"/>
                <w:sz w:val="16"/>
              </w:rPr>
              <w:t>government</w:t>
            </w:r>
            <w:r>
              <w:rPr>
                <w:sz w:val="16"/>
              </w:rPr>
              <w:t xml:space="preserve">、合同与法律事务 </w:t>
            </w:r>
            <w:r>
              <w:rPr>
                <w:rFonts w:ascii="Noto Sans Mono CJK SC" w:hAnsi="Noto Sans Mono CJK SC"/>
                <w:color w:val="334B4A"/>
                <w:sz w:val="16"/>
              </w:rPr>
              <w:t>legal_contract</w:t>
            </w:r>
          </w:p>
        </w:tc>
      </w:tr>
      <w:tr>
        <w:tc>
          <w:tcPr>
            <w:tcW w:type="dxa" w:w="4791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我的工作</w:t>
            </w:r>
          </w:p>
        </w:tc>
        <w:tc>
          <w:tcPr>
            <w:tcW w:type="dxa" w:w="4791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工作 </w:t>
            </w:r>
            <w:r>
              <w:rPr>
                <w:rFonts w:ascii="Noto Sans Mono CJK SC" w:hAnsi="Noto Sans Mono CJK SC"/>
                <w:color w:val="334B4A"/>
                <w:sz w:val="16"/>
              </w:rPr>
              <w:t>work</w:t>
            </w:r>
            <w:r>
              <w:rPr>
                <w:sz w:val="16"/>
              </w:rPr>
              <w:t xml:space="preserve">、运营 </w:t>
            </w:r>
            <w:r>
              <w:rPr>
                <w:rFonts w:ascii="Noto Sans Mono CJK SC" w:hAnsi="Noto Sans Mono CJK SC"/>
                <w:color w:val="334B4A"/>
                <w:sz w:val="16"/>
              </w:rPr>
              <w:t>operations</w:t>
            </w:r>
            <w:r>
              <w:rPr>
                <w:sz w:val="16"/>
              </w:rPr>
              <w:t xml:space="preserve">、内容创作 </w:t>
            </w:r>
            <w:r>
              <w:rPr>
                <w:rFonts w:ascii="Noto Sans Mono CJK SC" w:hAnsi="Noto Sans Mono CJK SC"/>
                <w:color w:val="334B4A"/>
                <w:sz w:val="16"/>
              </w:rPr>
              <w:t>content</w:t>
            </w:r>
            <w:r>
              <w:rPr>
                <w:sz w:val="16"/>
              </w:rPr>
              <w:t xml:space="preserve">、学习 </w:t>
            </w:r>
            <w:r>
              <w:rPr>
                <w:rFonts w:ascii="Noto Sans Mono CJK SC" w:hAnsi="Noto Sans Mono CJK SC"/>
                <w:color w:val="334B4A"/>
                <w:sz w:val="16"/>
              </w:rPr>
              <w:t>study</w:t>
            </w:r>
          </w:p>
        </w:tc>
      </w:tr>
    </w:tbl>
    <w:p>
      <w:pPr>
        <w:spacing w:after="0"/>
      </w:pPr>
    </w:p>
    <w:p>
      <w:pPr/>
      <w:r>
        <w:t>首页领域树使用当前后端规范目录，不在移动端内置另一套不同的 96 场景源数据；只缓存已验证的目录 revision、用户自己的展开偏好和可用性投影。</w:t>
      </w:r>
      <w:r>
        <w:rPr>
          <w:rFonts w:ascii="Noto Sans Mono CJK SC" w:hAnsi="Noto Sans Mono CJK SC"/>
          <w:color w:val="334B4A"/>
          <w:sz w:val="16"/>
        </w:rPr>
        <w:t>finance.accounting</w:t>
      </w:r>
      <w:r>
        <w:t xml:space="preserve"> 是 V2-only 合同场景，并不因为 UI 展示就自动计入旧 96；可否新建要依据后端当前 V2 合同与治理状态。目标 160 是扩容规划，既有 64 候选已有去重初审，其中「合并 Recipe」或待调查项不得直接展示为已发布的独立场景。</w:t>
      </w:r>
    </w:p>
    <w:p>
      <w:pPr>
        <w:pStyle w:val="Heading1"/>
      </w:pPr>
      <w:r>
        <w:t>9. 真实状态与异常设计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</w:trPr>
        <w:tc>
          <w:tcPr>
            <w:tcW w:type="dxa" w:w="3194"/>
            <w:vAlign w:val="center"/>
            <w:shd w:fill="E9F0ED"/>
          </w:tcPr>
          <w:p>
            <w:pPr>
              <w:spacing w:after="40" w:before="40" w:line="274" w:lineRule="auto"/>
            </w:pPr>
            <w:r>
              <w:rPr>
                <w:b/>
                <w:color w:val="304C45"/>
                <w:sz w:val="16"/>
              </w:rPr>
            </w:r>
            <w:r>
              <w:rPr>
                <w:b/>
                <w:color w:val="304C45"/>
                <w:sz w:val="16"/>
              </w:rPr>
              <w:t>状态</w:t>
            </w:r>
          </w:p>
        </w:tc>
        <w:tc>
          <w:tcPr>
            <w:tcW w:type="dxa" w:w="3194"/>
            <w:vAlign w:val="center"/>
            <w:shd w:fill="E9F0ED"/>
          </w:tcPr>
          <w:p>
            <w:pPr>
              <w:spacing w:after="40" w:before="40" w:line="274" w:lineRule="auto"/>
            </w:pPr>
            <w:r>
              <w:rPr>
                <w:b/>
                <w:color w:val="304C45"/>
                <w:sz w:val="16"/>
              </w:rPr>
            </w:r>
            <w:r>
              <w:rPr>
                <w:b/>
                <w:color w:val="304C45"/>
                <w:sz w:val="16"/>
              </w:rPr>
              <w:t>前端应该表达</w:t>
            </w:r>
          </w:p>
        </w:tc>
        <w:tc>
          <w:tcPr>
            <w:tcW w:type="dxa" w:w="3194"/>
            <w:vAlign w:val="center"/>
            <w:shd w:fill="E9F0ED"/>
          </w:tcPr>
          <w:p>
            <w:pPr>
              <w:spacing w:after="40" w:before="40" w:line="274" w:lineRule="auto"/>
            </w:pPr>
            <w:r>
              <w:rPr>
                <w:b/>
                <w:color w:val="304C45"/>
                <w:sz w:val="16"/>
              </w:rPr>
            </w:r>
            <w:r>
              <w:rPr>
                <w:b/>
                <w:color w:val="304C45"/>
                <w:sz w:val="16"/>
              </w:rPr>
              <w:t>禁止行为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未创建计划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简明引导用户选场景创建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用演示卡填满首页</w:t>
            </w:r>
          </w:p>
        </w:tc>
      </w:tr>
      <w:tr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缺来源/权限</w:t>
            </w:r>
          </w:p>
        </w:tc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显示原因、前往连接或手动导入</w:t>
            </w:r>
          </w:p>
        </w:tc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将已安装 App 判定为有权限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数据尚待验证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标识「待确认/待核实」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直接计入可信事实/完成统计</w:t>
            </w:r>
          </w:p>
        </w:tc>
      </w:tr>
      <w:tr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来源离线或事实过期</w:t>
            </w:r>
          </w:p>
        </w:tc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最近有效时间、恢复/刷新入口</w:t>
            </w:r>
          </w:p>
        </w:tc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不说明依据就显示持续实时监测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等待用户审批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在计划卡显示等待；在待办可操作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未复验就执行、把已读消息当批准</w:t>
            </w:r>
          </w:p>
        </w:tc>
      </w:tr>
      <w:tr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结果未知</w:t>
            </w:r>
          </w:p>
        </w:tc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明确「结果待核实」及只读回查</w:t>
            </w:r>
          </w:p>
        </w:tc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盲目重试外部写操作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部分成功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说明已完成部分和未完成部分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归并为全部成功</w:t>
            </w:r>
          </w:p>
        </w:tc>
      </w:tr>
      <w:tr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没有真实 Provider 或真机验收</w:t>
            </w:r>
          </w:p>
        </w:tc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标记能力限制和人工替代</w:t>
            </w:r>
          </w:p>
        </w:tc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把本地 MySQL 测试标记为真实渠道可用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网络离线/接口报错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已缓存且有时间戳的数据 + 重试入口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用假成功掩盖连接中断</w:t>
            </w:r>
          </w:p>
        </w:tc>
      </w:tr>
    </w:tbl>
    <w:p>
      <w:pPr>
        <w:spacing w:after="0"/>
      </w:pPr>
    </w:p>
    <w:p>
      <w:pPr/>
      <w:r>
        <w:t>状态字符串与结果计算必须由服务端共享合同投影；</w:t>
      </w:r>
      <w:r>
        <w:rPr>
          <w:rFonts w:ascii="Noto Sans Mono CJK SC" w:hAnsi="Noto Sans Mono CJK SC"/>
          <w:color w:val="334B4A"/>
          <w:sz w:val="16"/>
        </w:rPr>
        <w:t>Consumer Outcome</w:t>
      </w:r>
      <w:r>
        <w:t xml:space="preserve"> 的四态为 </w:t>
      </w:r>
      <w:r>
        <w:rPr>
          <w:rFonts w:ascii="Noto Sans Mono CJK SC" w:hAnsi="Noto Sans Mono CJK SC"/>
          <w:color w:val="334B4A"/>
          <w:sz w:val="16"/>
        </w:rPr>
        <w:t>SUCCESS/FAILED/PENDING_CONFIRMATION/OUTCOME_UNKNOWN</w:t>
      </w:r>
      <w:r>
        <w:t xml:space="preserve">，另有 </w:t>
      </w:r>
      <w:r>
        <w:rPr>
          <w:rFonts w:ascii="Noto Sans Mono CJK SC" w:hAnsi="Noto Sans Mono CJK SC"/>
          <w:color w:val="334B4A"/>
          <w:sz w:val="16"/>
        </w:rPr>
        <w:t>outcome:null</w:t>
      </w:r>
      <w:r>
        <w:t xml:space="preserve"> 表示尚无可判定结果。计划状态、数据可信度、通知送达和业务是否已实际完成是不同维度，不允许映射成一个「运行中/成功」布尔值。</w:t>
      </w:r>
    </w:p>
    <w:p>
      <w:pPr>
        <w:pStyle w:val="Heading1"/>
      </w:pPr>
      <w:r>
        <w:t>10. 前后端接口对齐与组件拆分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</w:trPr>
        <w:tc>
          <w:tcPr>
            <w:tcW w:type="dxa" w:w="3194"/>
            <w:vAlign w:val="center"/>
            <w:shd w:fill="E9F0ED"/>
          </w:tcPr>
          <w:p>
            <w:pPr>
              <w:spacing w:after="40" w:before="40" w:line="274" w:lineRule="auto"/>
            </w:pPr>
            <w:r>
              <w:rPr>
                <w:b/>
                <w:color w:val="304C45"/>
                <w:sz w:val="16"/>
              </w:rPr>
            </w:r>
            <w:r>
              <w:rPr>
                <w:b/>
                <w:color w:val="304C45"/>
                <w:sz w:val="16"/>
              </w:rPr>
              <w:t>页面/组件</w:t>
            </w:r>
          </w:p>
        </w:tc>
        <w:tc>
          <w:tcPr>
            <w:tcW w:type="dxa" w:w="3194"/>
            <w:vAlign w:val="center"/>
            <w:shd w:fill="E9F0ED"/>
          </w:tcPr>
          <w:p>
            <w:pPr>
              <w:spacing w:after="40" w:before="40" w:line="274" w:lineRule="auto"/>
            </w:pPr>
            <w:r>
              <w:rPr>
                <w:b/>
                <w:color w:val="304C45"/>
                <w:sz w:val="16"/>
              </w:rPr>
            </w:r>
            <w:r>
              <w:rPr>
                <w:b/>
                <w:color w:val="304C45"/>
                <w:sz w:val="16"/>
              </w:rPr>
              <w:t>优先复用的现有依据</w:t>
            </w:r>
          </w:p>
        </w:tc>
        <w:tc>
          <w:tcPr>
            <w:tcW w:type="dxa" w:w="3194"/>
            <w:vAlign w:val="center"/>
            <w:shd w:fill="E9F0ED"/>
          </w:tcPr>
          <w:p>
            <w:pPr>
              <w:spacing w:after="40" w:before="40" w:line="274" w:lineRule="auto"/>
            </w:pPr>
            <w:r>
              <w:rPr>
                <w:b/>
                <w:color w:val="304C45"/>
                <w:sz w:val="16"/>
              </w:rPr>
            </w:r>
            <w:r>
              <w:rPr>
                <w:b/>
                <w:color w:val="304C45"/>
                <w:sz w:val="16"/>
              </w:rPr>
              <w:t>若不足，先做的动作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正在进行卡片、计划中心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既有 Plan/执行 API、服务端最近计划/消费者投影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审计真实返回 DTO；必要时增加面向首页的只读聚合接口，不在 RN 自行拼权威结果</w:t>
            </w:r>
          </w:p>
        </w:tc>
      </w:tr>
      <w:tr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计划详情</w:t>
            </w:r>
          </w:p>
        </w:tc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PlanVersion、</w:t>
            </w:r>
            <w:r>
              <w:rPr>
                <w:rFonts w:ascii="Noto Sans Mono CJK SC" w:hAnsi="Noto Sans Mono CJK SC"/>
                <w:color w:val="334B4A"/>
                <w:sz w:val="16"/>
              </w:rPr>
              <w:t>GET /plans/:id/lifecycle-projection</w:t>
            </w:r>
            <w:r>
              <w:rPr>
                <w:sz w:val="16"/>
              </w:rPr>
              <w:t>、Execution 列表/详情</w:t>
            </w:r>
          </w:p>
        </w:tc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只扩所缺字段，并使用共享 runtime schema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场景目录与创建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rFonts w:ascii="Noto Sans Mono CJK SC" w:hAnsi="Noto Sans Mono CJK SC"/>
                <w:color w:val="334B4A"/>
                <w:sz w:val="16"/>
              </w:rPr>
              <w:t>GET /scenarios/:key/contract-v2</w:t>
            </w:r>
            <w:r>
              <w:rPr>
                <w:sz w:val="16"/>
              </w:rPr>
              <w:t>、FactDemand Resolver、</w:t>
            </w:r>
            <w:r>
              <w:rPr>
                <w:rFonts w:ascii="Noto Sans Mono CJK SC" w:hAnsi="Noto Sans Mono CJK SC"/>
                <w:color w:val="334B4A"/>
                <w:sz w:val="16"/>
              </w:rPr>
              <w:t>POST /planning/offers/v2</w:t>
            </w:r>
            <w:r>
              <w:rPr>
                <w:sz w:val="16"/>
              </w:rPr>
              <w:t>、Offer choose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V2-only/legacy 分支显示明确；不要用临时表单绕过正式编译</w:t>
            </w:r>
          </w:p>
        </w:tc>
      </w:tr>
      <w:tr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来源说明</w:t>
            </w:r>
          </w:p>
        </w:tc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SourceResolver、ReadinessEvidenceService、用户设备/连接状态</w:t>
            </w:r>
          </w:p>
        </w:tc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明确分离已声明、已实现、已授权、健康、可执行、可验证和真实验收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待办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既有 Approval、异常/对账案件的权威服务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审计现有可用列表/详情路由后建立只读 Todo 聚合；写回继续走原 Approval</w:t>
            </w:r>
          </w:p>
        </w:tc>
      </w:tr>
      <w:tr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消息</w:t>
            </w:r>
          </w:p>
        </w:tc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已有通知与执行事件</w:t>
            </w:r>
          </w:p>
        </w:tc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审计是否存在用户隔离的通知列表；缺少时增量建最小只读投影与已读操作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搜索/万事问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用户隔离的 Plan/Scenario/Records 检索、现有 Agent Adapter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搜索先行；正式 AI 模型没有验收前不能呈现实时规划假结果</w:t>
            </w:r>
          </w:p>
        </w:tc>
      </w:tr>
      <w:tr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草稿</w:t>
            </w:r>
          </w:p>
        </w:tc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当前创建草稿或现有 Draft 相关能力</w:t>
            </w:r>
          </w:p>
        </w:tc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先验证数据归属/敏感边界，再决定最小持久化实现，不与正式 PlanDraft 混淆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私密/商城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各自既有页面和限定后端能力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独立安全与商业准入，不因页面存在而开启真操作</w:t>
            </w:r>
          </w:p>
        </w:tc>
      </w:tr>
    </w:tbl>
    <w:p>
      <w:pPr>
        <w:spacing w:after="0"/>
      </w:pPr>
    </w:p>
    <w:p>
      <w:pPr/>
      <w:r>
        <w:rPr>
          <w:b/>
        </w:rPr>
        <w:t>客户端建议组件</w:t>
      </w:r>
      <w:r>
        <w:t>：</w:t>
      </w:r>
      <w:r>
        <w:rPr>
          <w:rFonts w:ascii="Noto Sans Mono CJK SC" w:hAnsi="Noto Sans Mono CJK SC"/>
          <w:color w:val="334B4A"/>
          <w:sz w:val="16"/>
        </w:rPr>
        <w:t>TopWorkspaceNav</w:t>
      </w:r>
      <w:r>
        <w:t>、</w:t>
      </w:r>
      <w:r>
        <w:rPr>
          <w:rFonts w:ascii="Noto Sans Mono CJK SC" w:hAnsi="Noto Sans Mono CJK SC"/>
          <w:color w:val="334B4A"/>
          <w:sz w:val="16"/>
        </w:rPr>
        <w:t>RunningPlanCarousel</w:t>
      </w:r>
      <w:r>
        <w:t>、</w:t>
      </w:r>
      <w:r>
        <w:rPr>
          <w:rFonts w:ascii="Noto Sans Mono CJK SC" w:hAnsi="Noto Sans Mono CJK SC"/>
          <w:color w:val="334B4A"/>
          <w:sz w:val="16"/>
        </w:rPr>
        <w:t>ScenarioSpaceTabs</w:t>
      </w:r>
      <w:r>
        <w:t>、</w:t>
      </w:r>
      <w:r>
        <w:rPr>
          <w:rFonts w:ascii="Noto Sans Mono CJK SC" w:hAnsi="Noto Sans Mono CJK SC"/>
          <w:color w:val="334B4A"/>
          <w:sz w:val="16"/>
        </w:rPr>
        <w:t>DomainScenarioTree</w:t>
      </w:r>
      <w:r>
        <w:t>、</w:t>
      </w:r>
      <w:r>
        <w:rPr>
          <w:rFonts w:ascii="Noto Sans Mono CJK SC" w:hAnsi="Noto Sans Mono CJK SC"/>
          <w:color w:val="334B4A"/>
          <w:sz w:val="16"/>
        </w:rPr>
        <w:t>GlobalActionBar</w:t>
      </w:r>
      <w:r>
        <w:t>、</w:t>
      </w:r>
      <w:r>
        <w:rPr>
          <w:rFonts w:ascii="Noto Sans Mono CJK SC" w:hAnsi="Noto Sans Mono CJK SC"/>
          <w:color w:val="334B4A"/>
          <w:sz w:val="16"/>
        </w:rPr>
        <w:t>PlanList</w:t>
      </w:r>
      <w:r>
        <w:t>、</w:t>
      </w:r>
      <w:r>
        <w:rPr>
          <w:rFonts w:ascii="Noto Sans Mono CJK SC" w:hAnsi="Noto Sans Mono CJK SC"/>
          <w:color w:val="334B4A"/>
          <w:sz w:val="16"/>
        </w:rPr>
        <w:t>PlanDetailSections</w:t>
      </w:r>
      <w:r>
        <w:t>、</w:t>
      </w:r>
      <w:r>
        <w:rPr>
          <w:rFonts w:ascii="Noto Sans Mono CJK SC" w:hAnsi="Noto Sans Mono CJK SC"/>
          <w:color w:val="334B4A"/>
          <w:sz w:val="16"/>
        </w:rPr>
        <w:t>ExecutionTimeline</w:t>
      </w:r>
      <w:r>
        <w:t>、</w:t>
      </w:r>
      <w:r>
        <w:rPr>
          <w:rFonts w:ascii="Noto Sans Mono CJK SC" w:hAnsi="Noto Sans Mono CJK SC"/>
          <w:color w:val="334B4A"/>
          <w:sz w:val="16"/>
        </w:rPr>
        <w:t>TodoCenter</w:t>
      </w:r>
      <w:r>
        <w:t>、</w:t>
      </w:r>
      <w:r>
        <w:rPr>
          <w:rFonts w:ascii="Noto Sans Mono CJK SC" w:hAnsi="Noto Sans Mono CJK SC"/>
          <w:color w:val="334B4A"/>
          <w:sz w:val="16"/>
        </w:rPr>
        <w:t>MessageCenter</w:t>
      </w:r>
      <w:r>
        <w:t>、</w:t>
      </w:r>
      <w:r>
        <w:rPr>
          <w:rFonts w:ascii="Noto Sans Mono CJK SC" w:hAnsi="Noto Sans Mono CJK SC"/>
          <w:color w:val="334B4A"/>
          <w:sz w:val="16"/>
        </w:rPr>
        <w:t>UniversalSearchAI</w:t>
      </w:r>
      <w:r>
        <w:t>、</w:t>
      </w:r>
      <w:r>
        <w:rPr>
          <w:rFonts w:ascii="Noto Sans Mono CJK SC" w:hAnsi="Noto Sans Mono CJK SC"/>
          <w:color w:val="334B4A"/>
          <w:sz w:val="16"/>
        </w:rPr>
        <w:t>PlanCreationWizard</w:t>
      </w:r>
      <w:r>
        <w:t>、</w:t>
      </w:r>
      <w:r>
        <w:rPr>
          <w:rFonts w:ascii="Noto Sans Mono CJK SC" w:hAnsi="Noto Sans Mono CJK SC"/>
          <w:color w:val="334B4A"/>
          <w:sz w:val="16"/>
        </w:rPr>
        <w:t>ResumeDraftSheet</w:t>
      </w:r>
      <w:r>
        <w:t>。先盘点仓库已有等价组件，尽量在原组件上替换行为，不制造命名不同的重复页面和服务。</w:t>
      </w:r>
    </w:p>
    <w:p>
      <w:pPr>
        <w:pStyle w:val="Heading1"/>
      </w:pPr>
      <w:r>
        <w:t>11. 视觉规范、易用性和适配</w:t>
      </w:r>
    </w:p>
    <w:p>
      <w:pPr/>
      <w:r>
        <w:t>视觉语言以用户选定效果图为准：暖白背景、浅灰胶囊、少量暖棕与低饱和绿作状态辅助，不用高饱和大面积警示色；图标风格统一，屏幕中的浅色按钮保留清晰的键盘焦点与按压反馈。状态颜色只能辅助，文字必须独立表达状态。卡片避免复杂投影导致性能低下；场景树优先保证文字识别和点击区域。</w:t>
      </w:r>
    </w:p>
    <w:p>
      <w:pPr/>
      <w:r>
        <w:t>初始开发建议值：页面左右安全间距 16dp；主要可点击目标≥44×44dp；顶部导航横向滚动且头像固定；主卡在 360dp 宽设备上约 220–245dp，侧卡露出可滑动提示；底部全局栏避开手势导航/软键盘。数字是设计起点，须用 360dp、390dp、430dp 及大字体实机截图调整，不能直接照搬参考图像的像素比例。系统减少动态效果开启后停用夸张 3D 透视；屏幕阅读器需要读出卡片序号、状态、下一步及按钮用途。</w:t>
      </w:r>
    </w:p>
    <w:p>
      <w:pPr/>
      <w:r>
        <w:t>空状态、加载骨架、网络断开、来源失效、数据过期、无权限、待核实、模型不可用均需专项页面或组件。保存首页空间选择、领域展开状态、计划筛选与向导进度；跨账号登录不得复用前一账号的本地缓存/草稿/搜索记录。</w:t>
      </w:r>
    </w:p>
    <w:p>
      <w:pPr>
        <w:pStyle w:val="Heading1"/>
      </w:pPr>
      <w:r>
        <w:t>12. 分阶段实施顺序（对应真实项目，不另开第二套架构）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</w:trPr>
        <w:tc>
          <w:tcPr>
            <w:tcW w:type="dxa" w:w="3194"/>
            <w:vAlign w:val="center"/>
            <w:shd w:fill="E9F0ED"/>
          </w:tcPr>
          <w:p>
            <w:pPr>
              <w:spacing w:after="40" w:before="40" w:line="274" w:lineRule="auto"/>
            </w:pPr>
            <w:r>
              <w:rPr>
                <w:b/>
                <w:color w:val="304C45"/>
                <w:sz w:val="16"/>
              </w:rPr>
            </w:r>
            <w:r>
              <w:rPr>
                <w:b/>
                <w:color w:val="304C45"/>
                <w:sz w:val="16"/>
              </w:rPr>
              <w:t>阶段</w:t>
            </w:r>
          </w:p>
        </w:tc>
        <w:tc>
          <w:tcPr>
            <w:tcW w:type="dxa" w:w="3194"/>
            <w:vAlign w:val="center"/>
            <w:shd w:fill="E9F0ED"/>
          </w:tcPr>
          <w:p>
            <w:pPr>
              <w:spacing w:after="40" w:before="40" w:line="274" w:lineRule="auto"/>
            </w:pPr>
            <w:r>
              <w:rPr>
                <w:b/>
                <w:color w:val="304C45"/>
                <w:sz w:val="16"/>
              </w:rPr>
            </w:r>
            <w:r>
              <w:rPr>
                <w:b/>
                <w:color w:val="304C45"/>
                <w:sz w:val="16"/>
              </w:rPr>
              <w:t>交付</w:t>
            </w:r>
          </w:p>
        </w:tc>
        <w:tc>
          <w:tcPr>
            <w:tcW w:type="dxa" w:w="3194"/>
            <w:vAlign w:val="center"/>
            <w:shd w:fill="E9F0ED"/>
          </w:tcPr>
          <w:p>
            <w:pPr>
              <w:spacing w:after="40" w:before="40" w:line="274" w:lineRule="auto"/>
            </w:pPr>
            <w:r>
              <w:rPr>
                <w:b/>
                <w:color w:val="304C45"/>
                <w:sz w:val="16"/>
              </w:rPr>
            </w:r>
            <w:r>
              <w:rPr>
                <w:b/>
                <w:color w:val="304C45"/>
                <w:sz w:val="16"/>
              </w:rPr>
              <w:t>最低验收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UI-0：审计与冻结设计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核对最新移动端 worktree、现有页面/接口、参考图、路由迁移方案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不修改或丢失已有未提交代码；输出真实复用清单</w:t>
            </w:r>
          </w:p>
        </w:tc>
      </w:tr>
      <w:tr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UI-1：全局外壳与首页</w:t>
            </w:r>
          </w:p>
        </w:tc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顶部五入口、底部三控件、正在进行卡片、条件性继续创建、19 领域场景树</w:t>
            </w:r>
          </w:p>
        </w:tc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360/390/430dp 适配；空态、数据权限、状态真实性通过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UI-2：计划与执行记录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全部计划、状态筛选、详情「下一步」、全局及单计划执行历史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真实 Consumer Outcome / 17 步投影；结果未知不误报</w:t>
            </w:r>
          </w:p>
        </w:tc>
      </w:tr>
      <w:tr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UI-3：新建计划与草稿</w:t>
            </w:r>
          </w:p>
        </w:tc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五阶段向导、来源引导、Offer、保存/恢复与过期重评估</w:t>
            </w:r>
          </w:p>
        </w:tc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Offer 选中→不可变版本；退出恢复；撤权后不能旧权继续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UI-4：待办与消息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审批/确认/异常/待核实详情，消息只读与已读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审批走原有后端；已读与待办完成分离；无重复副作用</w:t>
            </w:r>
          </w:p>
        </w:tc>
      </w:tr>
      <w:tr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UI-5：全局搜索与万事问</w:t>
            </w:r>
          </w:p>
        </w:tc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默认检索、显式 AI 模式、计划上下文、低成本异常回退</w:t>
            </w:r>
          </w:p>
        </w:tc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未授权与私密信息不检索、不送模型；fixture 不冒充在线 AI</w:t>
            </w:r>
          </w:p>
        </w:tc>
      </w:tr>
      <w:tr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UI-6：私密/商城独立扩展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私密的安全门禁、计划驱动清单与合法订单前置能力</w:t>
            </w:r>
          </w:p>
        </w:tc>
        <w:tc>
          <w:tcPr>
            <w:tcW w:type="dxa" w:w="3194"/>
            <w:vAlign w:val="center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未通过专项安全/真实渠道验收的功能保持不可用</w:t>
            </w:r>
          </w:p>
        </w:tc>
      </w:tr>
      <w:tr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UI-7：联调与发布验收</w:t>
            </w:r>
          </w:p>
        </w:tc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五黄金路径 UI 演示和真实证据映射、Android 实机/CI 单独门禁</w:t>
            </w:r>
          </w:p>
        </w:tc>
        <w:tc>
          <w:tcPr>
            <w:tcW w:type="dxa" w:w="3194"/>
            <w:vAlign w:val="center"/>
            <w:shd w:fill="F8FAF8"/>
          </w:tcPr>
          <w:p>
            <w:pPr>
              <w:spacing w:after="40" w:before="40" w:line="274" w:lineRule="auto"/>
            </w:pPr>
            <w:r>
              <w:rPr>
                <w:sz w:val="16"/>
              </w:rPr>
            </w:r>
            <w:r>
              <w:rPr>
                <w:sz w:val="16"/>
              </w:rPr>
              <w:t>测试、真机、Provider、同 SHA CI 分开记录</w:t>
            </w:r>
          </w:p>
        </w:tc>
      </w:tr>
    </w:tbl>
    <w:p>
      <w:pPr>
        <w:spacing w:after="0"/>
      </w:pPr>
    </w:p>
    <w:p>
      <w:pPr/>
      <w:r>
        <w:rPr>
          <w:b/>
        </w:rPr>
        <w:t>与当前后端任务并行规则</w:t>
      </w:r>
      <w:r>
        <w:t>：GitHub Webhook 专项正在独立 worktree 解决真实 MySQL/Redis 隔离和并发问题；UI 开发须使用独立受控分支/工作区，不要混入该安全门禁修复，也不覆盖现有未提交移动端改动。任何无法取得真实 Android/Provider 证据的 UI 状态应保留「待验收」。</w:t>
      </w:r>
    </w:p>
    <w:p>
      <w:pPr>
        <w:pStyle w:val="Heading1"/>
      </w:pPr>
      <w:r>
        <w:t>13. 产品验收清单（完成定义）</w:t>
      </w:r>
    </w:p>
    <w:p>
      <w:pPr>
        <w:ind w:left="255" w:hanging="170"/>
      </w:pPr>
      <w:r>
        <w:t>1. 从首页选任一已审核场景，能够经过五阶段创建真实 Plan；不能兑现的渠道展示准确原因；临时退出能够安全恢复草稿。</w:t>
      </w:r>
    </w:p>
    <w:p>
      <w:pPr>
        <w:ind w:left="255" w:hanging="170"/>
      </w:pPr>
      <w:r>
        <w:t>2. 首页卡片和计划中心列表展示的是同一个服务端计划；「查看全部」只改变筛选，不复制计划或状态；无计划时无假数据。</w:t>
      </w:r>
    </w:p>
    <w:p>
      <w:pPr>
        <w:ind w:left="255" w:hanging="170"/>
      </w:pPr>
      <w:r>
        <w:t>3. 每个计划详情有明确「下一步」、数据来源/时效、最近执行、执行记录和渐进式 17 步；必要时能进入单次执行的 15 步诊断。</w:t>
      </w:r>
    </w:p>
    <w:p>
      <w:pPr>
        <w:ind w:left="255" w:hanging="170"/>
      </w:pPr>
      <w:r>
        <w:t>4. 待办覆盖审批、确认、异常和核实，消息已读不改变 Approval；拒绝、超时、撤权和结果未知均有准确状态。</w:t>
      </w:r>
    </w:p>
    <w:p>
      <w:pPr>
        <w:ind w:left="255" w:hanging="170"/>
      </w:pPr>
      <w:r>
        <w:t>5. 搜索默认不调用模型；用户明确进入 AI 后仍只有建议权限；敏感资料在未解锁/未授权时不进入搜索和 AI。</w:t>
      </w:r>
    </w:p>
    <w:p>
      <w:pPr>
        <w:ind w:left="255" w:hanging="170"/>
      </w:pPr>
      <w:r>
        <w:t>6. 19 领域和旧 96 key/revision/hash 保持不变；V2-only 和新增候选的治理状态真实；8 策略与原执行内核不修改。</w:t>
      </w:r>
    </w:p>
    <w:p>
      <w:pPr>
        <w:ind w:left="255" w:hanging="170"/>
      </w:pPr>
      <w:r>
        <w:t>7. 账目整理、快递、耗材、家庭补给、每日重要事项在对应后端能力可用时共享页面组件和结果语义；不能实现的真实来源清晰标示。</w:t>
      </w:r>
    </w:p>
    <w:p>
      <w:pPr>
        <w:ind w:left="255" w:hanging="170"/>
      </w:pPr>
      <w:r>
        <w:t>8. 真正验证 Android 安全区、键盘、小屏、大字体、减少动画、离线和返回导航；本地单测不能替代真机或同 SHA CI。</w:t>
      </w:r>
    </w:p>
    <w:p>
      <w:pPr>
        <w:pStyle w:val="Heading1"/>
      </w:pPr>
      <w:r>
        <w:t>14. 交给 Codex 的实施摘要</w:t>
      </w:r>
    </w:p>
    <w:p>
      <w:pPr/>
      <w:r>
        <w:rPr>
          <w:b/>
        </w:rPr>
        <w:t>请在先审计当前本地分支和未提交修改的前提下，将本方案作为移动端产品交互设计基准。</w:t>
      </w:r>
      <w:r>
        <w:t xml:space="preserve"> 先做 UI-0 差距清单，再在独立受控分支完成 UI-1→UI-5，每批最少包含代码、运行时合同校验、页面测试、截图/交互证据、独立提交；UI-6 单列安全和商务门禁，不因已经画出页面就开通真实敏感存储或支付。不能修改旧 96/8/15 核心身份，不另建 Plan/Truth/Approval/Execution 引擎；所有状态消费真实后端投影。不要为实现参考图而硬编码演示运行数据，也不要与 GitHub Webhook 隔离修复工作区混合提交。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62" w:bottom="964" w:left="1162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B8F8D"/>
        <w:sz w:val="16"/>
      </w:rPr>
      <w:t xml:space="preserve">设计与实施基准 · 2026-09-26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B8F8D"/>
        <w:sz w:val="16"/>
      </w:rPr>
      <w:t>懒人装甲  /  MOBILE UI V6.0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Noto Sans CJK SC" w:hAnsi="Noto Sans CJK SC" w:eastAsia="Noto Sans CJK SC"/>
      <w:color w:val="2A32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B404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B404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B404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52" w:lineRule="auto" w:after="0"/>
      <w:ind w:left="170" w:right="142"/>
    </w:pPr>
    <w:rPr>
      <w:rFonts w:ascii="Noto Sans Mono CJK SC" w:hAnsi="Noto Sans Mono CJK SC" w:eastAsia="Noto Sans Mono CJK SC"/>
      <w:color w:val="364045"/>
      <w:sz w:val="16"/>
    </w:rPr>
  </w:style>
  <w:style w:type="paragraph" w:customStyle="1" w:styleId="CaptionCustom">
    <w:name w:val="Caption Custom"/>
    <w:pPr>
      <w:spacing w:after="60"/>
    </w:pPr>
    <w:rPr>
      <w:rFonts w:ascii="Noto Sans CJK SC" w:hAnsi="Noto Sans CJK SC" w:eastAsia="Noto Sans CJK SC"/>
      <w:color w:val="787E7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懒人装甲移动端 UI 产品化整合方案 V6.0</dc:title>
  <dc:subject>基于确定首页的端到端移动端产品与实施方案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