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2020ICM周末1</w:t>
      </w:r>
    </w:p>
    <w:p>
      <w:pPr>
        <w:rPr>
          <w:rFonts w:hint="eastAsia"/>
        </w:rPr>
      </w:pPr>
      <w:r>
        <w:rPr>
          <w:rFonts w:hint="eastAsia"/>
        </w:rPr>
        <w:t>问题D：团队战略</w:t>
      </w:r>
    </w:p>
    <w:p>
      <w:pPr>
        <w:ind w:firstLine="420" w:firstLineChars="200"/>
        <w:rPr>
          <w:rFonts w:hint="eastAsia"/>
        </w:rPr>
      </w:pPr>
      <w:r>
        <w:rPr>
          <w:rFonts w:hint="eastAsia"/>
        </w:rPr>
        <w:t>随着社会变得更加相互关联，它们所面临的挑战也变得越来越复杂。我们依靠具有不同专业知识和不同观点的跨学科团队来解决许多最具挑战性的问题。在过去的50年里，我们对团队成功的概念理解有了很大的进步，允许更好的科学、创造性或物理团队来解决这些复杂的问题。研究人员</w:t>
      </w:r>
      <w:r>
        <w:rPr>
          <w:rFonts w:hint="eastAsia"/>
          <w:lang w:val="en-US" w:eastAsia="zh-CN"/>
        </w:rPr>
        <w:t>已经就</w:t>
      </w:r>
      <w:r>
        <w:rPr>
          <w:rFonts w:hint="eastAsia"/>
        </w:rPr>
        <w:t>组建团队的最佳策略、队友之间的最佳互动和理想的领导风格</w:t>
      </w:r>
      <w:r>
        <w:rPr>
          <w:rFonts w:hint="eastAsia"/>
          <w:lang w:val="en-US" w:eastAsia="zh-CN"/>
        </w:rPr>
        <w:t>提供了相关报道</w:t>
      </w:r>
      <w:r>
        <w:rPr>
          <w:rFonts w:hint="eastAsia"/>
        </w:rPr>
        <w:t>。所有部门和领域的强大团队能够通过个人努力或队友的一系列附加贡献来执行无法实现的复杂任务。</w:t>
      </w:r>
    </w:p>
    <w:p>
      <w:pPr>
        <w:ind w:firstLine="420" w:firstLineChars="200"/>
        <w:rPr>
          <w:rFonts w:hint="eastAsia"/>
          <w:lang w:val="en-US" w:eastAsia="zh-CN"/>
        </w:rPr>
      </w:pPr>
      <w:r>
        <w:rPr>
          <w:rFonts w:hint="eastAsia"/>
        </w:rPr>
        <w:t>探索团队过程的最具信息性的设置之一是竞技团队运动。团队运动必须遵守严格的规则，其中可能包括但不限于球员的数量、他们的角色、球员之间的允许接触、他们的位置和运动、获得的分数， 以及侵权行为的后果。球队的成功</w:t>
      </w:r>
      <w:r>
        <w:rPr>
          <w:rFonts w:hint="eastAsia"/>
          <w:lang w:val="en-US" w:eastAsia="zh-CN"/>
        </w:rPr>
        <w:t>不仅仅是</w:t>
      </w:r>
      <w:r>
        <w:rPr>
          <w:rFonts w:hint="eastAsia"/>
        </w:rPr>
        <w:t>个人球员的能力总和。相反，这是基于许多其他因素</w:t>
      </w:r>
      <w:r>
        <w:rPr>
          <w:rFonts w:hint="eastAsia"/>
          <w:lang w:eastAsia="zh-CN"/>
        </w:rPr>
        <w:t>，</w:t>
      </w:r>
      <w:r>
        <w:rPr>
          <w:rFonts w:hint="eastAsia"/>
          <w:lang w:val="en-US" w:eastAsia="zh-CN"/>
        </w:rPr>
        <w:t>这些因素涉及队友的比赛表现。这些因素可能包括团队是否有多种技能（一个人可能很快，而另一个人则很准确），团队在个人和集体绩效之间的平衡程度如何 （明星球员可以帮助利用所有队友的技能），以及球队在一段时间内有效协调的能力（当一名球员从对手那里断球时，另一名球员准备进攻）。</w:t>
      </w:r>
    </w:p>
    <w:p>
      <w:pPr>
        <w:keepNext w:val="0"/>
        <w:keepLines w:val="0"/>
        <w:widowControl/>
        <w:suppressLineNumbers w:val="0"/>
        <w:jc w:val="left"/>
        <w:rPr>
          <w:rFonts w:hint="eastAsia"/>
          <w:b w:val="0"/>
          <w:bCs w:val="0"/>
          <w:lang w:val="en-US" w:eastAsia="zh-CN"/>
        </w:rPr>
      </w:pPr>
      <w:r>
        <w:rPr>
          <w:rFonts w:hint="default"/>
          <w:lang w:val="en-US" w:eastAsia="zh-CN"/>
        </w:rPr>
        <w:t>根据你的</w:t>
      </w:r>
      <w:r>
        <w:rPr>
          <w:rFonts w:hint="eastAsia"/>
          <w:lang w:val="en-US" w:eastAsia="zh-CN"/>
        </w:rPr>
        <w:t>建模</w:t>
      </w:r>
      <w:r>
        <w:rPr>
          <w:rFonts w:hint="default"/>
          <w:lang w:val="en-US" w:eastAsia="zh-CN"/>
        </w:rPr>
        <w:t>技巧，你的</w:t>
      </w:r>
      <w:r>
        <w:rPr>
          <w:rFonts w:hint="eastAsia"/>
          <w:lang w:val="en-US" w:eastAsia="zh-CN"/>
        </w:rPr>
        <w:t>家庭</w:t>
      </w:r>
      <w:r>
        <w:rPr>
          <w:rFonts w:hint="default"/>
          <w:lang w:val="en-US" w:eastAsia="zh-CN"/>
        </w:rPr>
        <w:t>足球队（在欧洲和其他地方被称为足球）</w:t>
      </w:r>
      <w:r>
        <w:rPr>
          <w:rFonts w:hint="eastAsia"/>
          <w:lang w:val="en-US" w:eastAsia="zh-CN"/>
        </w:rPr>
        <w:t>的</w:t>
      </w:r>
      <w:r>
        <w:rPr>
          <w:rFonts w:hint="default"/>
          <w:lang w:val="en-US" w:eastAsia="zh-CN"/>
        </w:rPr>
        <w:t>教练</w:t>
      </w:r>
      <w:r>
        <w:rPr>
          <w:rFonts w:hint="eastAsia"/>
          <w:lang w:val="en-US" w:eastAsia="zh-CN"/>
        </w:rPr>
        <w:t>，爱斯基摩人，已经</w:t>
      </w:r>
      <w:r>
        <w:rPr>
          <w:rFonts w:hint="default"/>
          <w:lang w:val="en-US" w:eastAsia="zh-CN"/>
        </w:rPr>
        <w:t>请你的公司“</w:t>
      </w:r>
      <w:r>
        <w:rPr>
          <w:rFonts w:ascii="TimesNewRomanPS-BoldMT" w:hAnsi="TimesNewRomanPS-BoldMT" w:eastAsia="TimesNewRomanPS-BoldMT" w:cs="TimesNewRomanPS-BoldMT"/>
          <w:b/>
          <w:color w:val="000000"/>
          <w:kern w:val="0"/>
          <w:sz w:val="24"/>
          <w:szCs w:val="24"/>
          <w:lang w:val="en-US" w:eastAsia="zh-CN" w:bidi="ar"/>
        </w:rPr>
        <w:t>I</w:t>
      </w:r>
      <w:r>
        <w:rPr>
          <w:rFonts w:ascii="TimesNewRomanPSMT" w:hAnsi="TimesNewRomanPSMT" w:eastAsia="TimesNewRomanPSMT" w:cs="TimesNewRomanPSMT"/>
          <w:color w:val="000000"/>
          <w:kern w:val="0"/>
          <w:sz w:val="24"/>
          <w:szCs w:val="24"/>
          <w:lang w:val="en-US" w:eastAsia="zh-CN" w:bidi="ar"/>
        </w:rPr>
        <w:t xml:space="preserve">ntrepid </w:t>
      </w:r>
      <w:r>
        <w:rPr>
          <w:rFonts w:hint="default" w:ascii="TimesNewRomanPS-BoldMT" w:hAnsi="TimesNewRomanPS-BoldMT" w:eastAsia="TimesNewRomanPS-BoldMT" w:cs="TimesNewRomanPS-BoldMT"/>
          <w:b/>
          <w:color w:val="000000"/>
          <w:kern w:val="0"/>
          <w:sz w:val="24"/>
          <w:szCs w:val="24"/>
          <w:lang w:val="en-US" w:eastAsia="zh-CN" w:bidi="ar"/>
        </w:rPr>
        <w:t>C</w:t>
      </w:r>
      <w:r>
        <w:rPr>
          <w:rFonts w:hint="default" w:ascii="TimesNewRomanPSMT" w:hAnsi="TimesNewRomanPSMT" w:eastAsia="TimesNewRomanPSMT" w:cs="TimesNewRomanPSMT"/>
          <w:color w:val="000000"/>
          <w:kern w:val="0"/>
          <w:sz w:val="24"/>
          <w:szCs w:val="24"/>
          <w:lang w:val="en-US" w:eastAsia="zh-CN" w:bidi="ar"/>
        </w:rPr>
        <w:t xml:space="preserve">hampion </w:t>
      </w:r>
      <w:r>
        <w:rPr>
          <w:rFonts w:hint="default" w:ascii="TimesNewRomanPS-BoldMT" w:hAnsi="TimesNewRomanPS-BoldMT" w:eastAsia="TimesNewRomanPS-BoldMT" w:cs="TimesNewRomanPS-BoldMT"/>
          <w:b/>
          <w:color w:val="000000"/>
          <w:kern w:val="0"/>
          <w:sz w:val="24"/>
          <w:szCs w:val="24"/>
          <w:lang w:val="en-US" w:eastAsia="zh-CN" w:bidi="ar"/>
        </w:rPr>
        <w:t>M</w:t>
      </w:r>
      <w:r>
        <w:rPr>
          <w:rFonts w:hint="default" w:ascii="TimesNewRomanPSMT" w:hAnsi="TimesNewRomanPSMT" w:eastAsia="TimesNewRomanPSMT" w:cs="TimesNewRomanPSMT"/>
          <w:color w:val="000000"/>
          <w:kern w:val="0"/>
          <w:sz w:val="24"/>
          <w:szCs w:val="24"/>
          <w:lang w:val="en-US" w:eastAsia="zh-CN" w:bidi="ar"/>
        </w:rPr>
        <w:t>odeling</w:t>
      </w:r>
      <w:r>
        <w:rPr>
          <w:rFonts w:hint="default"/>
          <w:lang w:val="en-US" w:eastAsia="zh-CN"/>
        </w:rPr>
        <w:t>”（ICM）来帮助你了解球队的动态。特别是，教练要求你探索球员之间复杂的互动如何影响他们的成功。</w:t>
      </w:r>
      <w:r>
        <w:rPr>
          <w:rFonts w:hint="default"/>
          <w:b/>
          <w:bCs/>
          <w:lang w:val="en-US" w:eastAsia="zh-CN"/>
        </w:rPr>
        <w:t>目标不仅仅是考察直接导致得分的互动，而是在整个比赛和整个赛季中探索团队动态，以帮助确定</w:t>
      </w:r>
      <w:r>
        <w:rPr>
          <w:rFonts w:hint="eastAsia"/>
          <w:b/>
          <w:bCs/>
          <w:lang w:val="en-US" w:eastAsia="zh-CN"/>
        </w:rPr>
        <w:t>可以提高下个赛季的团队合作的</w:t>
      </w:r>
      <w:r>
        <w:rPr>
          <w:rFonts w:hint="default"/>
          <w:b/>
          <w:bCs/>
          <w:lang w:val="en-US" w:eastAsia="zh-CN"/>
        </w:rPr>
        <w:t>具体策略</w:t>
      </w:r>
      <w:r>
        <w:rPr>
          <w:rFonts w:hint="eastAsia"/>
          <w:b/>
          <w:bCs/>
          <w:lang w:val="en-US" w:eastAsia="zh-CN"/>
        </w:rPr>
        <w:t>。</w:t>
      </w:r>
      <w:r>
        <w:rPr>
          <w:rFonts w:hint="eastAsia"/>
          <w:b w:val="0"/>
          <w:bCs w:val="0"/>
          <w:lang w:val="en-US" w:eastAsia="zh-CN"/>
        </w:rPr>
        <w:t>教练要求ICM量化和正规化的使球队成功（和不成功）的球队结构和动态特征。爱斯基摩人提供了上赛季的详细数据[1]，包括他们与19个对手进行的38场比赛（他们与每个对手都踢了两次）。总体而言，数据涵盖366名球员（30名爱斯基摩球员和336名来自对手球队的球员）之间的23429次传球和59271场比赛。</w:t>
      </w:r>
    </w:p>
    <w:p>
      <w:pPr>
        <w:keepNext w:val="0"/>
        <w:keepLines w:val="0"/>
        <w:widowControl/>
        <w:suppressLineNumbers w:val="0"/>
        <w:jc w:val="left"/>
        <w:rPr>
          <w:rFonts w:hint="eastAsia"/>
          <w:b w:val="0"/>
          <w:bCs w:val="0"/>
          <w:lang w:val="en-US" w:eastAsia="zh-CN"/>
        </w:rPr>
      </w:pPr>
    </w:p>
    <w:p>
      <w:pPr>
        <w:keepNext w:val="0"/>
        <w:keepLines w:val="0"/>
        <w:widowControl/>
        <w:suppressLineNumbers w:val="0"/>
        <w:jc w:val="left"/>
        <w:rPr>
          <w:rFonts w:hint="default"/>
          <w:b w:val="0"/>
          <w:bCs w:val="0"/>
          <w:lang w:val="en-US" w:eastAsia="zh-CN"/>
        </w:rPr>
      </w:pPr>
      <w:r>
        <w:rPr>
          <w:rFonts w:hint="default"/>
          <w:b w:val="0"/>
          <w:bCs w:val="0"/>
          <w:lang w:val="en-US" w:eastAsia="zh-CN"/>
        </w:rPr>
        <w:t>为了</w:t>
      </w:r>
      <w:r>
        <w:rPr>
          <w:rFonts w:hint="eastAsia"/>
          <w:b w:val="0"/>
          <w:bCs w:val="0"/>
          <w:lang w:val="en-US" w:eastAsia="zh-CN"/>
        </w:rPr>
        <w:t>回应爱斯基摩教练</w:t>
      </w:r>
      <w:r>
        <w:rPr>
          <w:rFonts w:hint="default"/>
          <w:b w:val="0"/>
          <w:bCs w:val="0"/>
          <w:lang w:val="en-US" w:eastAsia="zh-CN"/>
        </w:rPr>
        <w:t>的要求，ICM的团队应该使用提供的数据来解决以下问题：</w:t>
      </w:r>
    </w:p>
    <w:p>
      <w:pPr>
        <w:keepNext w:val="0"/>
        <w:keepLines w:val="0"/>
        <w:widowControl/>
        <w:suppressLineNumbers w:val="0"/>
        <w:jc w:val="left"/>
        <w:rPr>
          <w:rFonts w:hint="default"/>
          <w:b w:val="0"/>
          <w:bCs w:val="0"/>
          <w:lang w:val="en-US" w:eastAsia="zh-CN"/>
        </w:rPr>
      </w:pPr>
    </w:p>
    <w:p>
      <w:pPr>
        <w:keepNext w:val="0"/>
        <w:keepLines w:val="0"/>
        <w:widowControl/>
        <w:numPr>
          <w:ilvl w:val="0"/>
          <w:numId w:val="1"/>
        </w:numPr>
        <w:suppressLineNumbers w:val="0"/>
        <w:ind w:left="420" w:leftChars="0" w:hanging="420" w:firstLineChars="0"/>
        <w:jc w:val="left"/>
        <w:rPr>
          <w:rFonts w:hint="default"/>
          <w:b w:val="0"/>
          <w:bCs w:val="0"/>
          <w:lang w:val="en-US" w:eastAsia="zh-CN"/>
        </w:rPr>
      </w:pPr>
      <w:r>
        <w:rPr>
          <w:rFonts w:hint="default"/>
          <w:b w:val="0"/>
          <w:bCs w:val="0"/>
          <w:lang w:val="en-US" w:eastAsia="zh-CN"/>
        </w:rPr>
        <w:t>为球员之间的传球创建一个网络，其中每个球员都是一个节点，每个传球构成球员之间的一个链接。使用您</w:t>
      </w:r>
      <w:r>
        <w:rPr>
          <w:rFonts w:hint="eastAsia"/>
          <w:b w:val="0"/>
          <w:bCs w:val="0"/>
          <w:lang w:val="en-US" w:eastAsia="zh-CN"/>
        </w:rPr>
        <w:t>的</w:t>
      </w:r>
      <w:r>
        <w:rPr>
          <w:rFonts w:hint="default"/>
          <w:b w:val="0"/>
          <w:bCs w:val="0"/>
          <w:lang w:val="en-US" w:eastAsia="zh-CN"/>
        </w:rPr>
        <w:t>传递网络来识别网络</w:t>
      </w:r>
      <w:r>
        <w:rPr>
          <w:rFonts w:hint="eastAsia"/>
          <w:b w:val="0"/>
          <w:bCs w:val="0"/>
          <w:lang w:val="en-US" w:eastAsia="zh-CN"/>
        </w:rPr>
        <w:t>的</w:t>
      </w:r>
      <w:r>
        <w:rPr>
          <w:rFonts w:hint="default"/>
          <w:b w:val="0"/>
          <w:bCs w:val="0"/>
          <w:lang w:val="en-US" w:eastAsia="zh-CN"/>
        </w:rPr>
        <w:t>模式，如</w:t>
      </w:r>
      <w:r>
        <w:rPr>
          <w:rFonts w:hint="eastAsia"/>
          <w:b w:val="0"/>
          <w:bCs w:val="0"/>
          <w:lang w:val="en-US" w:eastAsia="zh-CN"/>
        </w:rPr>
        <w:t>二位和三位的配置</w:t>
      </w:r>
      <w:r>
        <w:rPr>
          <w:rFonts w:hint="default"/>
          <w:b w:val="0"/>
          <w:bCs w:val="0"/>
          <w:lang w:val="en-US" w:eastAsia="zh-CN"/>
        </w:rPr>
        <w:t>和团队组成</w:t>
      </w:r>
      <w:r>
        <w:rPr>
          <w:rFonts w:hint="eastAsia"/>
          <w:b w:val="0"/>
          <w:bCs w:val="0"/>
          <w:lang w:val="en-US" w:eastAsia="zh-CN"/>
        </w:rPr>
        <w:t>（ dyadic and triadic configurations and team formations.）</w:t>
      </w:r>
      <w:r>
        <w:rPr>
          <w:rFonts w:hint="default"/>
          <w:b w:val="0"/>
          <w:bCs w:val="0"/>
          <w:lang w:val="en-US" w:eastAsia="zh-CN"/>
        </w:rPr>
        <w:t>。还要考虑到游戏的其他结构指标和网络属性。</w:t>
      </w:r>
      <w:r>
        <w:rPr>
          <w:rFonts w:hint="eastAsia"/>
          <w:b w:val="0"/>
          <w:bCs w:val="0"/>
          <w:lang w:val="en-US" w:eastAsia="zh-CN"/>
        </w:rPr>
        <w:t>你应该在观察互动时</w:t>
      </w:r>
      <w:r>
        <w:rPr>
          <w:rFonts w:hint="default"/>
          <w:b w:val="0"/>
          <w:bCs w:val="0"/>
          <w:lang w:val="en-US" w:eastAsia="zh-CN"/>
        </w:rPr>
        <w:t>探索</w:t>
      </w:r>
      <w:r>
        <w:rPr>
          <w:rFonts w:hint="eastAsia"/>
          <w:b w:val="0"/>
          <w:bCs w:val="0"/>
          <w:lang w:val="en-US" w:eastAsia="zh-CN"/>
        </w:rPr>
        <w:t>多种</w:t>
      </w:r>
      <w:r>
        <w:rPr>
          <w:rFonts w:hint="default"/>
          <w:b w:val="0"/>
          <w:bCs w:val="0"/>
          <w:lang w:val="en-US" w:eastAsia="zh-CN"/>
        </w:rPr>
        <w:t>尺度，</w:t>
      </w:r>
      <w:r>
        <w:rPr>
          <w:rFonts w:hint="eastAsia"/>
          <w:b w:val="0"/>
          <w:bCs w:val="0"/>
          <w:lang w:val="en-US" w:eastAsia="zh-CN"/>
        </w:rPr>
        <w:t>例</w:t>
      </w:r>
      <w:r>
        <w:rPr>
          <w:rFonts w:hint="default"/>
          <w:b w:val="0"/>
          <w:bCs w:val="0"/>
          <w:lang w:val="en-US" w:eastAsia="zh-CN"/>
        </w:rPr>
        <w:t>如但不限于微观（</w:t>
      </w:r>
      <w:r>
        <w:rPr>
          <w:rFonts w:hint="eastAsia"/>
          <w:b w:val="0"/>
          <w:bCs w:val="0"/>
          <w:lang w:val="en-US" w:eastAsia="zh-CN"/>
        </w:rPr>
        <w:t>成对</w:t>
      </w:r>
      <w:r>
        <w:rPr>
          <w:rFonts w:hint="default"/>
          <w:b w:val="0"/>
          <w:bCs w:val="0"/>
          <w:lang w:val="en-US" w:eastAsia="zh-CN"/>
        </w:rPr>
        <w:t>）到宏观（所有玩家），</w:t>
      </w:r>
      <w:r>
        <w:rPr>
          <w:rFonts w:hint="eastAsia"/>
          <w:b w:val="0"/>
          <w:bCs w:val="0"/>
          <w:lang w:val="en-US" w:eastAsia="zh-CN"/>
        </w:rPr>
        <w:t>以及时间如从短（分钟到分钟）到长（整个游戏到整个赛季的时间）。</w:t>
      </w:r>
    </w:p>
    <w:p>
      <w:pPr>
        <w:keepNext w:val="0"/>
        <w:keepLines w:val="0"/>
        <w:widowControl/>
        <w:numPr>
          <w:ilvl w:val="0"/>
          <w:numId w:val="1"/>
        </w:numPr>
        <w:suppressLineNumbers w:val="0"/>
        <w:ind w:left="420" w:leftChars="0" w:hanging="420" w:firstLineChars="0"/>
        <w:jc w:val="left"/>
        <w:rPr>
          <w:rFonts w:hint="default"/>
          <w:b w:val="0"/>
          <w:bCs w:val="0"/>
          <w:lang w:val="en-US" w:eastAsia="zh-CN"/>
        </w:rPr>
      </w:pPr>
      <w:r>
        <w:rPr>
          <w:rFonts w:hint="default"/>
          <w:b w:val="0"/>
          <w:bCs w:val="0"/>
          <w:lang w:val="en-US" w:eastAsia="zh-CN"/>
        </w:rPr>
        <w:t xml:space="preserve">确定反映成功团队合作的绩效指标（除分数或获胜外），如游戏类型的多样性、玩家之间的协调或贡献的分配 </w:t>
      </w:r>
      <w:r>
        <w:rPr>
          <w:rFonts w:hint="eastAsia"/>
          <w:b w:val="0"/>
          <w:bCs w:val="0"/>
          <w:lang w:val="en-US" w:eastAsia="zh-CN"/>
        </w:rPr>
        <w:t>。您还可以考虑其他团队级别的流程，如适应性、灵活性、节奏或流程。弄清战略是否普遍有效还是取决于对手的反战略可能很重要。使用您已经确定的性能指标和团队级别流程来创建一个模型，该模型捕获团队合作的结构、配置和动态方面。</w:t>
      </w:r>
    </w:p>
    <w:p>
      <w:pPr>
        <w:keepNext w:val="0"/>
        <w:keepLines w:val="0"/>
        <w:pageBreakBefore w:val="0"/>
        <w:widowControl/>
        <w:numPr>
          <w:ilvl w:val="0"/>
          <w:numId w:val="1"/>
        </w:numPr>
        <w:suppressLineNumbers w:val="0"/>
        <w:kinsoku/>
        <w:wordWrap/>
        <w:overflowPunct/>
        <w:topLinePunct w:val="0"/>
        <w:autoSpaceDE/>
        <w:autoSpaceDN/>
        <w:bidi w:val="0"/>
        <w:adjustRightInd/>
        <w:snapToGrid/>
        <w:ind w:left="420" w:leftChars="0" w:hanging="420" w:firstLineChars="0"/>
        <w:jc w:val="left"/>
        <w:textAlignment w:val="auto"/>
        <w:rPr>
          <w:rFonts w:hint="default"/>
          <w:b w:val="0"/>
          <w:bCs w:val="0"/>
          <w:color w:val="000000" w:themeColor="text1"/>
          <w:lang w:val="en-US" w:eastAsia="zh-CN"/>
          <w14:textFill>
            <w14:solidFill>
              <w14:schemeClr w14:val="tx1"/>
            </w14:solidFill>
          </w14:textFill>
        </w:rPr>
      </w:pPr>
      <w:r>
        <w:rPr>
          <w:rFonts w:hint="default"/>
          <w:b w:val="0"/>
          <w:bCs w:val="0"/>
          <w:lang w:val="en-US" w:eastAsia="zh-CN"/>
        </w:rPr>
        <w:t>使用从你的团队合作模型中获得的</w:t>
      </w:r>
      <w:r>
        <w:rPr>
          <w:rFonts w:hint="eastAsia"/>
          <w:b w:val="0"/>
          <w:bCs w:val="0"/>
          <w:lang w:val="en-US" w:eastAsia="zh-CN"/>
        </w:rPr>
        <w:t>见解</w:t>
      </w:r>
      <w:r>
        <w:rPr>
          <w:rFonts w:hint="default"/>
          <w:b w:val="0"/>
          <w:bCs w:val="0"/>
          <w:lang w:val="en-US" w:eastAsia="zh-CN"/>
        </w:rPr>
        <w:t>来告诉教练什么样的结构策略对</w:t>
      </w:r>
      <w:r>
        <w:rPr>
          <w:rFonts w:hint="eastAsia"/>
          <w:b w:val="0"/>
          <w:bCs w:val="0"/>
          <w:lang w:val="en-US" w:eastAsia="zh-CN"/>
        </w:rPr>
        <w:t>爱斯基摩人</w:t>
      </w:r>
      <w:r>
        <w:rPr>
          <w:rFonts w:hint="default"/>
          <w:b w:val="0"/>
          <w:bCs w:val="0"/>
          <w:lang w:val="en-US" w:eastAsia="zh-CN"/>
        </w:rPr>
        <w:t>是有效的。</w:t>
      </w:r>
      <w:r>
        <w:rPr>
          <w:rFonts w:hint="eastAsia"/>
          <w:b w:val="0"/>
          <w:bCs w:val="0"/>
          <w:lang w:val="en-US" w:eastAsia="zh-CN"/>
        </w:rPr>
        <w:t>就网络分析表明他们应该在下个赛季做出以改善团队成功的变化，向教练提出建议。</w:t>
      </w:r>
    </w:p>
    <w:p>
      <w:pPr>
        <w:keepNext w:val="0"/>
        <w:keepLines w:val="0"/>
        <w:pageBreakBefore w:val="0"/>
        <w:widowControl/>
        <w:numPr>
          <w:ilvl w:val="0"/>
          <w:numId w:val="1"/>
        </w:numPr>
        <w:suppressLineNumbers w:val="0"/>
        <w:kinsoku/>
        <w:wordWrap/>
        <w:overflowPunct/>
        <w:topLinePunct w:val="0"/>
        <w:autoSpaceDE/>
        <w:autoSpaceDN/>
        <w:bidi w:val="0"/>
        <w:adjustRightInd/>
        <w:snapToGrid/>
        <w:ind w:left="420" w:leftChars="0" w:hanging="420" w:firstLineChars="0"/>
        <w:jc w:val="left"/>
        <w:textAlignment w:val="auto"/>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你对</w:t>
      </w:r>
      <w:r>
        <w:rPr>
          <w:rFonts w:hint="eastAsia"/>
          <w:b w:val="0"/>
          <w:bCs w:val="0"/>
          <w:color w:val="000000" w:themeColor="text1"/>
          <w:lang w:val="en-US" w:eastAsia="zh-CN"/>
          <w14:textFill>
            <w14:solidFill>
              <w14:schemeClr w14:val="tx1"/>
            </w14:solidFill>
          </w14:textFill>
        </w:rPr>
        <w:t>爱斯基摩人（球队名字）</w:t>
      </w:r>
      <w:r>
        <w:rPr>
          <w:rFonts w:hint="default"/>
          <w:b w:val="0"/>
          <w:bCs w:val="0"/>
          <w:color w:val="000000" w:themeColor="text1"/>
          <w:lang w:val="en-US" w:eastAsia="zh-CN"/>
          <w14:textFill>
            <w14:solidFill>
              <w14:schemeClr w14:val="tx1"/>
            </w14:solidFill>
          </w14:textFill>
        </w:rPr>
        <w:t>的分析</w:t>
      </w:r>
      <w:r>
        <w:rPr>
          <w:rFonts w:hint="eastAsia"/>
          <w:b w:val="0"/>
          <w:bCs w:val="0"/>
          <w:color w:val="000000" w:themeColor="text1"/>
          <w:lang w:val="en-US" w:eastAsia="zh-CN"/>
          <w14:textFill>
            <w14:solidFill>
              <w14:schemeClr w14:val="tx1"/>
            </w14:solidFill>
          </w14:textFill>
        </w:rPr>
        <w:t>，</w:t>
      </w:r>
      <w:r>
        <w:rPr>
          <w:rFonts w:hint="default"/>
          <w:b w:val="0"/>
          <w:bCs w:val="0"/>
          <w:color w:val="000000" w:themeColor="text1"/>
          <w:lang w:val="en-US" w:eastAsia="zh-CN"/>
          <w14:textFill>
            <w14:solidFill>
              <w14:schemeClr w14:val="tx1"/>
            </w14:solidFill>
          </w14:textFill>
        </w:rPr>
        <w:t>让你可以在一个团队运动控制环境中考虑</w:t>
      </w:r>
      <w:r>
        <w:rPr>
          <w:rFonts w:hint="eastAsia"/>
          <w:b w:val="0"/>
          <w:bCs w:val="0"/>
          <w:color w:val="000000" w:themeColor="text1"/>
          <w:lang w:val="en-US" w:eastAsia="zh-CN"/>
          <w14:textFill>
            <w14:solidFill>
              <w14:schemeClr w14:val="tx1"/>
            </w14:solidFill>
          </w14:textFill>
        </w:rPr>
        <w:t>小组的动力。理解使某些群体比其他群体表现更好的复杂因素对社会如何发展和创新至关重要。当我们的社会越来越多地解决涉及团队的问题时，你能概括你的发现，来说明如何设计更有效的团队吗？开发团队绩效的通用模型还需要捕捉团队合作的哪些其他方面？</w:t>
      </w:r>
    </w:p>
    <w:p>
      <w:pPr>
        <w:keepNext w:val="0"/>
        <w:keepLines w:val="0"/>
        <w:pageBreakBefore w:val="0"/>
        <w:widowControl/>
        <w:numPr>
          <w:numId w:val="0"/>
        </w:numPr>
        <w:suppressLineNumbers w:val="0"/>
        <w:kinsoku/>
        <w:wordWrap/>
        <w:overflowPunct/>
        <w:topLinePunct w:val="0"/>
        <w:autoSpaceDE/>
        <w:autoSpaceDN/>
        <w:bidi w:val="0"/>
        <w:adjustRightInd/>
        <w:snapToGrid/>
        <w:jc w:val="left"/>
        <w:textAlignment w:val="auto"/>
        <w:rPr>
          <w:rFonts w:hint="eastAsia"/>
          <w:b w:val="0"/>
          <w:bCs w:val="0"/>
          <w:color w:val="000000" w:themeColor="text1"/>
          <w:lang w:val="en-US" w:eastAsia="zh-CN"/>
          <w14:textFill>
            <w14:solidFill>
              <w14:schemeClr w14:val="tx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jc w:val="left"/>
        <w:textAlignment w:val="auto"/>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您的提交应包括：</w:t>
      </w:r>
    </w:p>
    <w:p>
      <w:pPr>
        <w:keepNext w:val="0"/>
        <w:keepLines w:val="0"/>
        <w:pageBreakBefore w:val="0"/>
        <w:widowControl/>
        <w:numPr>
          <w:ilvl w:val="0"/>
          <w:numId w:val="1"/>
        </w:numPr>
        <w:suppressLineNumbers w:val="0"/>
        <w:kinsoku/>
        <w:wordWrap/>
        <w:overflowPunct/>
        <w:topLinePunct w:val="0"/>
        <w:autoSpaceDE/>
        <w:autoSpaceDN/>
        <w:bidi w:val="0"/>
        <w:adjustRightInd/>
        <w:snapToGrid/>
        <w:ind w:left="420" w:leftChars="0" w:hanging="420" w:firstLineChars="0"/>
        <w:jc w:val="left"/>
        <w:textAlignment w:val="auto"/>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一页摘要表</w:t>
      </w:r>
    </w:p>
    <w:p>
      <w:pPr>
        <w:keepNext w:val="0"/>
        <w:keepLines w:val="0"/>
        <w:pageBreakBefore w:val="0"/>
        <w:widowControl/>
        <w:numPr>
          <w:ilvl w:val="0"/>
          <w:numId w:val="1"/>
        </w:numPr>
        <w:suppressLineNumbers w:val="0"/>
        <w:kinsoku/>
        <w:wordWrap/>
        <w:overflowPunct/>
        <w:topLinePunct w:val="0"/>
        <w:autoSpaceDE/>
        <w:autoSpaceDN/>
        <w:bidi w:val="0"/>
        <w:adjustRightInd/>
        <w:snapToGrid/>
        <w:ind w:left="420" w:leftChars="0" w:hanging="420" w:firstLineChars="0"/>
        <w:jc w:val="left"/>
        <w:textAlignment w:val="auto"/>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目录</w:t>
      </w:r>
    </w:p>
    <w:p>
      <w:pPr>
        <w:keepNext w:val="0"/>
        <w:keepLines w:val="0"/>
        <w:pageBreakBefore w:val="0"/>
        <w:widowControl/>
        <w:numPr>
          <w:ilvl w:val="0"/>
          <w:numId w:val="1"/>
        </w:numPr>
        <w:suppressLineNumbers w:val="0"/>
        <w:kinsoku/>
        <w:wordWrap/>
        <w:overflowPunct/>
        <w:topLinePunct w:val="0"/>
        <w:autoSpaceDE/>
        <w:autoSpaceDN/>
        <w:bidi w:val="0"/>
        <w:adjustRightInd/>
        <w:snapToGrid/>
        <w:ind w:left="420" w:leftChars="0" w:hanging="420" w:firstLineChars="0"/>
        <w:jc w:val="left"/>
        <w:textAlignment w:val="auto"/>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您的解决方案不超过20页，最多22页</w:t>
      </w:r>
      <w:r>
        <w:rPr>
          <w:rFonts w:hint="eastAsia"/>
          <w:b w:val="0"/>
          <w:bCs w:val="0"/>
          <w:color w:val="000000" w:themeColor="text1"/>
          <w:lang w:val="en-US" w:eastAsia="zh-CN"/>
          <w14:textFill>
            <w14:solidFill>
              <w14:schemeClr w14:val="tx1"/>
            </w14:solidFill>
          </w14:textFill>
        </w:rPr>
        <w:t>包含</w:t>
      </w:r>
      <w:r>
        <w:rPr>
          <w:rFonts w:hint="default"/>
          <w:b w:val="0"/>
          <w:bCs w:val="0"/>
          <w:color w:val="000000" w:themeColor="text1"/>
          <w:lang w:val="en-US" w:eastAsia="zh-CN"/>
          <w14:textFill>
            <w14:solidFill>
              <w14:schemeClr w14:val="tx1"/>
            </w14:solidFill>
          </w14:textFill>
        </w:rPr>
        <w:t>您的摘要和目录表。</w:t>
      </w:r>
    </w:p>
    <w:p>
      <w:pPr>
        <w:keepNext w:val="0"/>
        <w:keepLines w:val="0"/>
        <w:pageBreakBefore w:val="0"/>
        <w:widowControl/>
        <w:numPr>
          <w:numId w:val="0"/>
        </w:numPr>
        <w:suppressLineNumbers w:val="0"/>
        <w:kinsoku/>
        <w:wordWrap/>
        <w:overflowPunct/>
        <w:topLinePunct w:val="0"/>
        <w:autoSpaceDE/>
        <w:autoSpaceDN/>
        <w:bidi w:val="0"/>
        <w:adjustRightInd/>
        <w:snapToGrid/>
        <w:ind w:leftChars="0"/>
        <w:jc w:val="left"/>
        <w:textAlignment w:val="auto"/>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注意：参考列表和任何附录不计入页数限制，并应出现在您完成的解决方案之后。你不应使用未经授权的图像和资料，而这些图像和资料的用途是 受版权法的限制。确保你引用你的想法和报告中使用的材料的来源。</w:t>
      </w:r>
    </w:p>
    <w:p>
      <w:pPr>
        <w:keepNext w:val="0"/>
        <w:keepLines w:val="0"/>
        <w:pageBreakBefore w:val="0"/>
        <w:widowControl/>
        <w:numPr>
          <w:numId w:val="0"/>
        </w:numPr>
        <w:suppressLineNumbers w:val="0"/>
        <w:kinsoku/>
        <w:wordWrap/>
        <w:overflowPunct/>
        <w:topLinePunct w:val="0"/>
        <w:autoSpaceDE/>
        <w:autoSpaceDN/>
        <w:bidi w:val="0"/>
        <w:adjustRightInd/>
        <w:snapToGrid/>
        <w:ind w:leftChars="0"/>
        <w:jc w:val="left"/>
        <w:textAlignment w:val="auto"/>
        <w:rPr>
          <w:rFonts w:hint="default"/>
          <w:b w:val="0"/>
          <w:bCs w:val="0"/>
          <w:color w:val="000000" w:themeColor="text1"/>
          <w:lang w:val="en-US" w:eastAsia="zh-CN"/>
          <w14:textFill>
            <w14:solidFill>
              <w14:schemeClr w14:val="tx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ind w:leftChars="0"/>
        <w:jc w:val="left"/>
        <w:textAlignment w:val="auto"/>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附件</w:t>
      </w:r>
    </w:p>
    <w:p>
      <w:pPr>
        <w:keepNext w:val="0"/>
        <w:keepLines w:val="0"/>
        <w:pageBreakBefore w:val="0"/>
        <w:widowControl/>
        <w:numPr>
          <w:numId w:val="0"/>
        </w:numPr>
        <w:suppressLineNumbers w:val="0"/>
        <w:kinsoku/>
        <w:wordWrap/>
        <w:overflowPunct/>
        <w:topLinePunct w:val="0"/>
        <w:autoSpaceDE/>
        <w:autoSpaceDN/>
        <w:bidi w:val="0"/>
        <w:adjustRightInd/>
        <w:snapToGrid/>
        <w:ind w:leftChars="0"/>
        <w:jc w:val="left"/>
        <w:textAlignment w:val="auto"/>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2020_Problem_D_DATA.zip</w:t>
      </w:r>
    </w:p>
    <w:p>
      <w:pPr>
        <w:keepNext w:val="0"/>
        <w:keepLines w:val="0"/>
        <w:pageBreakBefore w:val="0"/>
        <w:widowControl/>
        <w:numPr>
          <w:numId w:val="0"/>
        </w:numPr>
        <w:suppressLineNumbers w:val="0"/>
        <w:kinsoku/>
        <w:wordWrap/>
        <w:overflowPunct/>
        <w:topLinePunct w:val="0"/>
        <w:autoSpaceDE/>
        <w:autoSpaceDN/>
        <w:bidi w:val="0"/>
        <w:adjustRightInd/>
        <w:snapToGrid/>
        <w:ind w:leftChars="0"/>
        <w:jc w:val="left"/>
        <w:textAlignment w:val="auto"/>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fullevents.csv</w:t>
      </w:r>
      <w:r>
        <w:rPr>
          <w:rFonts w:hint="eastAsia"/>
          <w:b w:val="0"/>
          <w:bCs w:val="0"/>
          <w:color w:val="000000" w:themeColor="text1"/>
          <w:lang w:val="en-US" w:eastAsia="zh-CN"/>
          <w14:textFill>
            <w14:solidFill>
              <w14:schemeClr w14:val="tx1"/>
            </w14:solidFill>
          </w14:textFill>
        </w:rPr>
        <w:t xml:space="preserve"> （全事件）</w:t>
      </w:r>
    </w:p>
    <w:p>
      <w:pPr>
        <w:keepNext w:val="0"/>
        <w:keepLines w:val="0"/>
        <w:pageBreakBefore w:val="0"/>
        <w:widowControl/>
        <w:numPr>
          <w:numId w:val="0"/>
        </w:numPr>
        <w:suppressLineNumbers w:val="0"/>
        <w:kinsoku/>
        <w:wordWrap/>
        <w:overflowPunct/>
        <w:topLinePunct w:val="0"/>
        <w:autoSpaceDE/>
        <w:autoSpaceDN/>
        <w:bidi w:val="0"/>
        <w:adjustRightInd/>
        <w:snapToGrid/>
        <w:ind w:leftChars="0"/>
        <w:jc w:val="left"/>
        <w:textAlignment w:val="auto"/>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matches.csv</w:t>
      </w:r>
      <w:r>
        <w:rPr>
          <w:rFonts w:hint="eastAsia"/>
          <w:b w:val="0"/>
          <w:bCs w:val="0"/>
          <w:color w:val="000000" w:themeColor="text1"/>
          <w:lang w:val="en-US" w:eastAsia="zh-CN"/>
          <w14:textFill>
            <w14:solidFill>
              <w14:schemeClr w14:val="tx1"/>
            </w14:solidFill>
          </w14:textFill>
        </w:rPr>
        <w:t xml:space="preserve">   （比赛）</w:t>
      </w:r>
    </w:p>
    <w:p>
      <w:pPr>
        <w:keepNext w:val="0"/>
        <w:keepLines w:val="0"/>
        <w:pageBreakBefore w:val="0"/>
        <w:widowControl/>
        <w:numPr>
          <w:numId w:val="0"/>
        </w:numPr>
        <w:suppressLineNumbers w:val="0"/>
        <w:kinsoku/>
        <w:wordWrap/>
        <w:overflowPunct/>
        <w:topLinePunct w:val="0"/>
        <w:autoSpaceDE/>
        <w:autoSpaceDN/>
        <w:bidi w:val="0"/>
        <w:adjustRightInd/>
        <w:snapToGrid/>
        <w:ind w:leftChars="0"/>
        <w:jc w:val="left"/>
        <w:textAlignment w:val="auto"/>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passingevents.csv</w:t>
      </w:r>
      <w:r>
        <w:rPr>
          <w:rFonts w:hint="eastAsia"/>
          <w:b w:val="0"/>
          <w:bCs w:val="0"/>
          <w:color w:val="000000" w:themeColor="text1"/>
          <w:lang w:val="en-US" w:eastAsia="zh-CN"/>
          <w14:textFill>
            <w14:solidFill>
              <w14:schemeClr w14:val="tx1"/>
            </w14:solidFill>
          </w14:textFill>
        </w:rPr>
        <w:t xml:space="preserve">  （传递事件）</w:t>
      </w:r>
    </w:p>
    <w:p>
      <w:pPr>
        <w:keepNext w:val="0"/>
        <w:keepLines w:val="0"/>
        <w:pageBreakBefore w:val="0"/>
        <w:widowControl/>
        <w:numPr>
          <w:numId w:val="0"/>
        </w:numPr>
        <w:suppressLineNumbers w:val="0"/>
        <w:kinsoku/>
        <w:wordWrap/>
        <w:overflowPunct/>
        <w:topLinePunct w:val="0"/>
        <w:autoSpaceDE/>
        <w:autoSpaceDN/>
        <w:bidi w:val="0"/>
        <w:adjustRightInd/>
        <w:snapToGrid/>
        <w:ind w:leftChars="0"/>
        <w:jc w:val="left"/>
        <w:textAlignment w:val="auto"/>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README.txt</w:t>
      </w:r>
    </w:p>
    <w:p>
      <w:pPr>
        <w:keepNext w:val="0"/>
        <w:keepLines w:val="0"/>
        <w:pageBreakBefore w:val="0"/>
        <w:widowControl/>
        <w:numPr>
          <w:numId w:val="0"/>
        </w:numPr>
        <w:suppressLineNumbers w:val="0"/>
        <w:kinsoku/>
        <w:wordWrap/>
        <w:overflowPunct/>
        <w:topLinePunct w:val="0"/>
        <w:autoSpaceDE/>
        <w:autoSpaceDN/>
        <w:bidi w:val="0"/>
        <w:adjustRightInd/>
        <w:snapToGrid/>
        <w:ind w:leftChars="0"/>
        <w:jc w:val="left"/>
        <w:textAlignment w:val="auto"/>
        <w:rPr>
          <w:rFonts w:hint="default"/>
          <w:b w:val="0"/>
          <w:bCs w:val="0"/>
          <w:color w:val="000000" w:themeColor="text1"/>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6" w:beforeAutospacing="0" w:after="0" w:afterAutospacing="0"/>
        <w:ind w:right="127"/>
        <w:jc w:val="left"/>
        <w:rPr>
          <w:rFonts w:hint="eastAsia" w:asciiTheme="minorEastAsia" w:hAnsiTheme="minorEastAsia" w:eastAsiaTheme="minorEastAsia" w:cstheme="minorEastAsia"/>
          <w:b w:val="0"/>
          <w:bCs/>
          <w:i w:val="0"/>
          <w:caps w:val="0"/>
          <w:color w:val="464646"/>
          <w:spacing w:val="0"/>
          <w:sz w:val="21"/>
          <w:szCs w:val="21"/>
          <w:u w:val="none"/>
          <w:bdr w:val="none" w:color="auto" w:sz="0" w:space="0"/>
        </w:rPr>
      </w:pPr>
      <w:r>
        <w:rPr>
          <w:rFonts w:hint="eastAsia" w:asciiTheme="minorEastAsia" w:hAnsiTheme="minorEastAsia" w:eastAsiaTheme="minorEastAsia" w:cstheme="minorEastAsia"/>
          <w:b w:val="0"/>
          <w:bCs/>
          <w:i w:val="0"/>
          <w:caps w:val="0"/>
          <w:color w:val="464646"/>
          <w:spacing w:val="0"/>
          <w:sz w:val="21"/>
          <w:szCs w:val="21"/>
          <w:u w:val="none"/>
          <w:bdr w:val="none" w:color="auto" w:sz="0" w:space="0"/>
        </w:rPr>
        <w:t>词汇表</w:t>
      </w:r>
    </w:p>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lang w:val="en-US" w:eastAsia="zh-CN"/>
        </w:rPr>
        <w:t>dyadic and triadic configurations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right="127"/>
        <w:jc w:val="left"/>
        <w:rPr>
          <w:rFonts w:hint="eastAsia" w:asciiTheme="minorEastAsia" w:hAnsiTheme="minorEastAsia" w:eastAsiaTheme="minorEastAsia" w:cstheme="minorEastAsia"/>
          <w:b w:val="0"/>
          <w:bCs/>
          <w:i w:val="0"/>
          <w:caps w:val="0"/>
          <w:color w:val="464646"/>
          <w:spacing w:val="0"/>
          <w:sz w:val="21"/>
          <w:szCs w:val="21"/>
          <w:u w:val="none"/>
        </w:rPr>
      </w:pPr>
      <w:r>
        <w:rPr>
          <w:rFonts w:hint="eastAsia" w:asciiTheme="minorEastAsia" w:hAnsiTheme="minorEastAsia" w:eastAsiaTheme="minorEastAsia" w:cstheme="minorEastAsia"/>
          <w:b w:val="0"/>
          <w:bCs/>
          <w:i w:val="0"/>
          <w:caps w:val="0"/>
          <w:color w:val="464646"/>
          <w:spacing w:val="0"/>
          <w:sz w:val="21"/>
          <w:szCs w:val="21"/>
          <w:u w:val="none"/>
          <w:bdr w:val="none" w:color="auto" w:sz="0" w:space="0"/>
        </w:rPr>
        <w:t>二进位配置</w:t>
      </w:r>
      <w:r>
        <w:rPr>
          <w:rFonts w:hint="eastAsia" w:asciiTheme="minorEastAsia" w:hAnsiTheme="minorEastAsia" w:eastAsiaTheme="minorEastAsia" w:cstheme="minorEastAsia"/>
          <w:b w:val="0"/>
          <w:bCs/>
          <w:i w:val="0"/>
          <w:caps w:val="0"/>
          <w:color w:val="464646"/>
          <w:spacing w:val="0"/>
          <w:sz w:val="21"/>
          <w:szCs w:val="21"/>
          <w:u w:val="none"/>
          <w:bdr w:val="none" w:color="auto" w:sz="0" w:space="0"/>
          <w:lang w:eastAsia="zh-CN"/>
        </w:rPr>
        <w:t>（</w:t>
      </w:r>
      <w:r>
        <w:rPr>
          <w:rFonts w:hint="eastAsia" w:asciiTheme="minorEastAsia" w:hAnsiTheme="minorEastAsia" w:eastAsiaTheme="minorEastAsia" w:cstheme="minorEastAsia"/>
          <w:b w:val="0"/>
          <w:bCs/>
          <w:sz w:val="21"/>
          <w:szCs w:val="21"/>
          <w:lang w:val="en-US" w:eastAsia="zh-CN"/>
        </w:rPr>
        <w:t xml:space="preserve">dyadic configurations） </w:t>
      </w:r>
      <w:r>
        <w:rPr>
          <w:rFonts w:hint="eastAsia" w:asciiTheme="minorEastAsia" w:hAnsiTheme="minorEastAsia" w:eastAsiaTheme="minorEastAsia" w:cstheme="minorEastAsia"/>
          <w:b w:val="0"/>
          <w:bCs/>
          <w:i w:val="0"/>
          <w:caps w:val="0"/>
          <w:color w:val="464646"/>
          <w:spacing w:val="0"/>
          <w:sz w:val="21"/>
          <w:szCs w:val="21"/>
          <w:u w:val="none"/>
          <w:bdr w:val="none" w:color="auto" w:sz="0" w:space="0"/>
        </w:rPr>
        <w:t>：涉及成对玩家的关系。</w:t>
      </w:r>
    </w:p>
    <w:p>
      <w:pPr>
        <w:rPr>
          <w:rFonts w:hint="eastAsia" w:asciiTheme="minorEastAsia" w:hAnsiTheme="minorEastAsia" w:eastAsiaTheme="minorEastAsia" w:cstheme="minorEastAsia"/>
          <w:b w:val="0"/>
          <w:bCs/>
          <w:i w:val="0"/>
          <w:caps w:val="0"/>
          <w:color w:val="464646"/>
          <w:spacing w:val="0"/>
          <w:sz w:val="21"/>
          <w:szCs w:val="21"/>
          <w:u w:val="none"/>
        </w:rPr>
      </w:pPr>
      <w:r>
        <w:rPr>
          <w:rFonts w:hint="eastAsia" w:asciiTheme="minorEastAsia" w:hAnsiTheme="minorEastAsia" w:eastAsiaTheme="minorEastAsia" w:cstheme="minorEastAsia"/>
          <w:b w:val="0"/>
          <w:bCs/>
          <w:i w:val="0"/>
          <w:caps w:val="0"/>
          <w:color w:val="464646"/>
          <w:spacing w:val="0"/>
          <w:sz w:val="21"/>
          <w:szCs w:val="21"/>
          <w:u w:val="none"/>
          <w:bdr w:val="none" w:color="auto" w:sz="0" w:space="0"/>
        </w:rPr>
        <w:t>三合一配置</w:t>
      </w:r>
      <w:r>
        <w:rPr>
          <w:rFonts w:hint="eastAsia" w:asciiTheme="minorEastAsia" w:hAnsiTheme="minorEastAsia" w:eastAsiaTheme="minorEastAsia" w:cstheme="minorEastAsia"/>
          <w:b w:val="0"/>
          <w:bCs/>
          <w:i w:val="0"/>
          <w:caps w:val="0"/>
          <w:color w:val="464646"/>
          <w:spacing w:val="0"/>
          <w:sz w:val="21"/>
          <w:szCs w:val="21"/>
          <w:u w:val="none"/>
          <w:bdr w:val="none" w:color="auto" w:sz="0" w:space="0"/>
          <w:lang w:eastAsia="zh-CN"/>
        </w:rPr>
        <w:t>（</w:t>
      </w:r>
      <w:r>
        <w:rPr>
          <w:rFonts w:hint="eastAsia" w:asciiTheme="minorEastAsia" w:hAnsiTheme="minorEastAsia" w:eastAsiaTheme="minorEastAsia" w:cstheme="minorEastAsia"/>
          <w:b w:val="0"/>
          <w:bCs/>
          <w:sz w:val="21"/>
          <w:szCs w:val="21"/>
          <w:lang w:val="en-US" w:eastAsia="zh-CN"/>
        </w:rPr>
        <w:t>triadic configurations</w:t>
      </w:r>
      <w:r>
        <w:rPr>
          <w:rFonts w:hint="eastAsia" w:asciiTheme="minorEastAsia" w:hAnsiTheme="minorEastAsia" w:eastAsiaTheme="minorEastAsia" w:cstheme="minorEastAsia"/>
          <w:b w:val="0"/>
          <w:bCs/>
          <w:i w:val="0"/>
          <w:caps w:val="0"/>
          <w:color w:val="464646"/>
          <w:spacing w:val="0"/>
          <w:sz w:val="21"/>
          <w:szCs w:val="21"/>
          <w:u w:val="none"/>
          <w:bdr w:val="none" w:color="auto" w:sz="0" w:space="0"/>
          <w:lang w:eastAsia="zh-CN"/>
        </w:rPr>
        <w:t>）</w:t>
      </w:r>
      <w:r>
        <w:rPr>
          <w:rFonts w:hint="eastAsia" w:asciiTheme="minorEastAsia" w:hAnsiTheme="minorEastAsia" w:eastAsiaTheme="minorEastAsia" w:cstheme="minorEastAsia"/>
          <w:b w:val="0"/>
          <w:bCs/>
          <w:i w:val="0"/>
          <w:caps w:val="0"/>
          <w:color w:val="464646"/>
          <w:spacing w:val="0"/>
          <w:sz w:val="21"/>
          <w:szCs w:val="21"/>
          <w:u w:val="none"/>
          <w:bdr w:val="none" w:color="auto" w:sz="0" w:space="0"/>
        </w:rPr>
        <w:t>：涉及三个参与者的组的关系。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27" w:firstLine="0"/>
        <w:jc w:val="left"/>
        <w:rPr>
          <w:rFonts w:hint="eastAsia" w:ascii="幼圆" w:hAnsi="幼圆" w:eastAsia="幼圆" w:cs="幼圆"/>
          <w:b/>
          <w:i w:val="0"/>
          <w:caps w:val="0"/>
          <w:color w:val="464646"/>
          <w:spacing w:val="0"/>
          <w:sz w:val="33"/>
          <w:szCs w:val="33"/>
          <w:u w:val="none"/>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27" w:firstLine="0"/>
        <w:jc w:val="left"/>
        <w:rPr>
          <w:rFonts w:hint="eastAsia" w:asciiTheme="minorEastAsia" w:hAnsiTheme="minorEastAsia" w:eastAsiaTheme="minorEastAsia" w:cstheme="minorEastAsia"/>
          <w:b w:val="0"/>
          <w:bCs/>
          <w:i w:val="0"/>
          <w:caps w:val="0"/>
          <w:color w:val="464646"/>
          <w:spacing w:val="0"/>
          <w:sz w:val="21"/>
          <w:szCs w:val="21"/>
          <w:u w:val="none"/>
        </w:rPr>
      </w:pPr>
      <w:r>
        <w:rPr>
          <w:rFonts w:hint="eastAsia" w:asciiTheme="minorEastAsia" w:hAnsiTheme="minorEastAsia" w:eastAsiaTheme="minorEastAsia" w:cstheme="minorEastAsia"/>
          <w:b w:val="0"/>
          <w:bCs/>
          <w:i w:val="0"/>
          <w:caps w:val="0"/>
          <w:color w:val="464646"/>
          <w:spacing w:val="0"/>
          <w:sz w:val="21"/>
          <w:szCs w:val="21"/>
          <w:u w:val="none"/>
          <w:bdr w:val="none" w:color="auto" w:sz="0" w:space="0"/>
        </w:rPr>
        <w:t>引用参考</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100" w:right="127" w:firstLine="0"/>
        <w:jc w:val="left"/>
        <w:rPr>
          <w:rFonts w:hint="eastAsia" w:asciiTheme="minorEastAsia" w:hAnsiTheme="minorEastAsia" w:eastAsiaTheme="minorEastAsia" w:cstheme="minorEastAsia"/>
          <w:b w:val="0"/>
          <w:bCs/>
          <w:i w:val="0"/>
          <w:caps w:val="0"/>
          <w:color w:val="464646"/>
          <w:spacing w:val="0"/>
          <w:sz w:val="21"/>
          <w:szCs w:val="21"/>
          <w:u w:val="none"/>
        </w:rPr>
      </w:pPr>
      <w:r>
        <w:rPr>
          <w:rFonts w:hint="eastAsia" w:asciiTheme="minorEastAsia" w:hAnsiTheme="minorEastAsia" w:eastAsiaTheme="minorEastAsia" w:cstheme="minorEastAsia"/>
          <w:b w:val="0"/>
          <w:bCs/>
          <w:i w:val="0"/>
          <w:caps w:val="0"/>
          <w:color w:val="0000FF"/>
          <w:spacing w:val="0"/>
          <w:sz w:val="21"/>
          <w:szCs w:val="21"/>
          <w:u w:val="none"/>
          <w:bdr w:val="none" w:color="auto" w:sz="0" w:space="0"/>
        </w:rPr>
        <w:t>[</w:t>
      </w:r>
      <w:r>
        <w:rPr>
          <w:rFonts w:hint="eastAsia" w:asciiTheme="minorEastAsia" w:hAnsiTheme="minorEastAsia" w:eastAsiaTheme="minorEastAsia" w:cstheme="minorEastAsia"/>
          <w:b w:val="0"/>
          <w:bCs/>
          <w:i/>
          <w:caps w:val="0"/>
          <w:color w:val="464646"/>
          <w:spacing w:val="0"/>
          <w:sz w:val="21"/>
          <w:szCs w:val="21"/>
          <w:u w:val="none"/>
          <w:bdr w:val="none" w:color="auto" w:sz="0" w:space="0"/>
        </w:rPr>
        <w:t>1] Pappalardo，L.，Cintia，P.，Rossi，A.等。足球比赛中时空比赛事件的公共数据集。Sci Data 6, 236 (2019).</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5" w:beforeAutospacing="0" w:after="60" w:afterAutospacing="0" w:line="360" w:lineRule="auto"/>
        <w:ind w:left="0" w:right="0" w:firstLine="0"/>
        <w:jc w:val="left"/>
        <w:rPr>
          <w:rFonts w:hint="default" w:asciiTheme="minorEastAsia" w:hAnsiTheme="minorEastAsia" w:eastAsiaTheme="minorEastAsia" w:cstheme="minorEastAsia"/>
          <w:b w:val="0"/>
          <w:bCs w:val="0"/>
          <w:i w:val="0"/>
          <w:iCs w:val="0"/>
          <w:caps w:val="0"/>
          <w:color w:val="464646"/>
          <w:spacing w:val="0"/>
          <w:sz w:val="21"/>
          <w:szCs w:val="21"/>
          <w:u w:val="none"/>
          <w:lang w:val="en-US" w:eastAsia="zh-CN"/>
        </w:rPr>
      </w:pPr>
      <w:r>
        <w:rPr>
          <w:rFonts w:hint="eastAsia" w:asciiTheme="minorEastAsia" w:hAnsiTheme="minorEastAsia" w:cstheme="minorEastAsia"/>
          <w:b w:val="0"/>
          <w:bCs w:val="0"/>
          <w:i w:val="0"/>
          <w:iCs w:val="0"/>
          <w:caps w:val="0"/>
          <w:color w:val="464646"/>
          <w:spacing w:val="0"/>
          <w:sz w:val="21"/>
          <w:szCs w:val="21"/>
          <w:u w:val="none"/>
          <w:lang w:val="en-US" w:eastAsia="zh-CN"/>
        </w:rPr>
        <w:t>可选资源</w:t>
      </w:r>
    </w:p>
    <w:p>
      <w:pPr>
        <w:rPr>
          <w:rFonts w:hint="eastAsia" w:asciiTheme="minorEastAsia" w:hAnsiTheme="minorEastAsia" w:eastAsiaTheme="minorEastAsia" w:cstheme="minorEastAsia"/>
          <w:b w:val="0"/>
          <w:bCs w:val="0"/>
          <w:i w:val="0"/>
          <w:iCs w:val="0"/>
          <w:sz w:val="21"/>
          <w:szCs w:val="21"/>
        </w:rPr>
      </w:pPr>
      <w:r>
        <w:rPr>
          <w:rFonts w:hint="eastAsia" w:asciiTheme="minorEastAsia" w:hAnsiTheme="minorEastAsia" w:eastAsiaTheme="minorEastAsia" w:cstheme="minorEastAsia"/>
          <w:b w:val="0"/>
          <w:bCs w:val="0"/>
          <w:i w:val="0"/>
          <w:iCs w:val="0"/>
          <w:sz w:val="21"/>
          <w:szCs w:val="21"/>
        </w:rPr>
        <w:t>足球（soccer）网络的研究导致了许多讨论相关主题的文章。下面列出几篇文章。您不需要在您的</w:t>
      </w:r>
      <w:r>
        <w:rPr>
          <w:rFonts w:hint="eastAsia" w:asciiTheme="minorEastAsia" w:hAnsiTheme="minorEastAsia" w:eastAsiaTheme="minorEastAsia" w:cstheme="minorEastAsia"/>
          <w:b w:val="0"/>
          <w:bCs w:val="0"/>
          <w:i w:val="0"/>
          <w:iCs w:val="0"/>
          <w:sz w:val="21"/>
          <w:szCs w:val="21"/>
          <w:lang w:val="en-US" w:eastAsia="zh-CN"/>
        </w:rPr>
        <w:t>解决方案</w:t>
      </w:r>
      <w:r>
        <w:rPr>
          <w:rFonts w:hint="eastAsia" w:asciiTheme="minorEastAsia" w:hAnsiTheme="minorEastAsia" w:eastAsiaTheme="minorEastAsia" w:cstheme="minorEastAsia"/>
          <w:b w:val="0"/>
          <w:bCs w:val="0"/>
          <w:i w:val="0"/>
          <w:iCs w:val="0"/>
          <w:sz w:val="21"/>
          <w:szCs w:val="21"/>
        </w:rPr>
        <w:t>中使用任何这些示例文章</w:t>
      </w:r>
      <w:r>
        <w:rPr>
          <w:rFonts w:hint="eastAsia" w:asciiTheme="minorEastAsia" w:hAnsiTheme="minorEastAsia" w:eastAsiaTheme="minorEastAsia" w:cstheme="minorEastAsia"/>
          <w:b w:val="0"/>
          <w:bCs w:val="0"/>
          <w:i w:val="0"/>
          <w:iCs w:val="0"/>
          <w:sz w:val="21"/>
          <w:szCs w:val="21"/>
          <w:lang w:eastAsia="zh-CN"/>
        </w:rPr>
        <w:t>，</w:t>
      </w:r>
      <w:r>
        <w:rPr>
          <w:rFonts w:hint="eastAsia" w:asciiTheme="minorEastAsia" w:hAnsiTheme="minorEastAsia" w:eastAsiaTheme="minorEastAsia" w:cstheme="minorEastAsia"/>
          <w:b w:val="0"/>
          <w:bCs w:val="0"/>
          <w:i w:val="0"/>
          <w:iCs w:val="0"/>
          <w:sz w:val="21"/>
          <w:szCs w:val="21"/>
        </w:rPr>
        <w:t>这也不是一个全面的清单。我们鼓励团队使用任何支持他们解决问题的方法的期刊文章。</w:t>
      </w:r>
    </w:p>
    <w:p>
      <w:pPr>
        <w:keepNext w:val="0"/>
        <w:keepLines w:val="0"/>
        <w:pageBreakBefore w:val="0"/>
        <w:widowControl/>
        <w:numPr>
          <w:numId w:val="0"/>
        </w:numPr>
        <w:suppressLineNumbers w:val="0"/>
        <w:kinsoku/>
        <w:wordWrap/>
        <w:overflowPunct/>
        <w:topLinePunct w:val="0"/>
        <w:autoSpaceDE/>
        <w:autoSpaceDN/>
        <w:bidi w:val="0"/>
        <w:adjustRightInd/>
        <w:snapToGrid/>
        <w:ind w:leftChars="0"/>
        <w:jc w:val="left"/>
        <w:textAlignment w:val="auto"/>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supports their approach to the problem.</w:t>
      </w:r>
    </w:p>
    <w:p>
      <w:pPr>
        <w:keepNext w:val="0"/>
        <w:keepLines w:val="0"/>
        <w:pageBreakBefore w:val="0"/>
        <w:widowControl/>
        <w:numPr>
          <w:numId w:val="0"/>
        </w:numPr>
        <w:suppressLineNumbers w:val="0"/>
        <w:kinsoku/>
        <w:wordWrap/>
        <w:overflowPunct/>
        <w:topLinePunct w:val="0"/>
        <w:autoSpaceDE/>
        <w:autoSpaceDN/>
        <w:bidi w:val="0"/>
        <w:adjustRightInd/>
        <w:snapToGrid/>
        <w:ind w:leftChars="0"/>
        <w:jc w:val="left"/>
        <w:textAlignment w:val="auto"/>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Buldú, J.M., Busquets, J., Echegoyen, I. et al. (2019). Defining a historic football team: Using </w:t>
      </w:r>
    </w:p>
    <w:p>
      <w:pPr>
        <w:keepNext w:val="0"/>
        <w:keepLines w:val="0"/>
        <w:pageBreakBefore w:val="0"/>
        <w:widowControl/>
        <w:numPr>
          <w:numId w:val="0"/>
        </w:numPr>
        <w:suppressLineNumbers w:val="0"/>
        <w:kinsoku/>
        <w:wordWrap/>
        <w:overflowPunct/>
        <w:topLinePunct w:val="0"/>
        <w:autoSpaceDE/>
        <w:autoSpaceDN/>
        <w:bidi w:val="0"/>
        <w:adjustRightInd/>
        <w:snapToGrid/>
        <w:ind w:leftChars="0"/>
        <w:jc w:val="left"/>
        <w:textAlignment w:val="auto"/>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Network Science to analyze Guardiola’s F.C. Barcelona. Sci Rep, 9, 13602.</w:t>
      </w:r>
    </w:p>
    <w:p>
      <w:pPr>
        <w:keepNext w:val="0"/>
        <w:keepLines w:val="0"/>
        <w:pageBreakBefore w:val="0"/>
        <w:widowControl/>
        <w:numPr>
          <w:numId w:val="0"/>
        </w:numPr>
        <w:suppressLineNumbers w:val="0"/>
        <w:kinsoku/>
        <w:wordWrap/>
        <w:overflowPunct/>
        <w:topLinePunct w:val="0"/>
        <w:autoSpaceDE/>
        <w:autoSpaceDN/>
        <w:bidi w:val="0"/>
        <w:adjustRightInd/>
        <w:snapToGrid/>
        <w:ind w:leftChars="0"/>
        <w:jc w:val="left"/>
        <w:textAlignment w:val="auto"/>
        <w:rPr>
          <w:rFonts w:hint="default"/>
          <w:b w:val="0"/>
          <w:bCs w:val="0"/>
          <w:color w:val="000000" w:themeColor="text1"/>
          <w:lang w:val="en-US" w:eastAsia="zh-CN"/>
          <w14:textFill>
            <w14:solidFill>
              <w14:schemeClr w14:val="tx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ind w:leftChars="0"/>
        <w:jc w:val="left"/>
        <w:textAlignment w:val="auto"/>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Cintia, P., Giannotti, F., Pappalardo, L., Pedreschi, D., &amp; Malvaldi, M. (2015). The harsh rule of </w:t>
      </w:r>
    </w:p>
    <w:p>
      <w:pPr>
        <w:keepNext w:val="0"/>
        <w:keepLines w:val="0"/>
        <w:pageBreakBefore w:val="0"/>
        <w:widowControl/>
        <w:numPr>
          <w:numId w:val="0"/>
        </w:numPr>
        <w:suppressLineNumbers w:val="0"/>
        <w:kinsoku/>
        <w:wordWrap/>
        <w:overflowPunct/>
        <w:topLinePunct w:val="0"/>
        <w:autoSpaceDE/>
        <w:autoSpaceDN/>
        <w:bidi w:val="0"/>
        <w:adjustRightInd/>
        <w:snapToGrid/>
        <w:ind w:leftChars="0"/>
        <w:jc w:val="left"/>
        <w:textAlignment w:val="auto"/>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the goals: Data-driven performance indicators for football teams. 2015 IEEE International </w:t>
      </w:r>
    </w:p>
    <w:p>
      <w:pPr>
        <w:keepNext w:val="0"/>
        <w:keepLines w:val="0"/>
        <w:pageBreakBefore w:val="0"/>
        <w:widowControl/>
        <w:numPr>
          <w:numId w:val="0"/>
        </w:numPr>
        <w:suppressLineNumbers w:val="0"/>
        <w:kinsoku/>
        <w:wordWrap/>
        <w:overflowPunct/>
        <w:topLinePunct w:val="0"/>
        <w:autoSpaceDE/>
        <w:autoSpaceDN/>
        <w:bidi w:val="0"/>
        <w:adjustRightInd/>
        <w:snapToGrid/>
        <w:ind w:leftChars="0"/>
        <w:jc w:val="left"/>
        <w:textAlignment w:val="auto"/>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Conference on Data Science and Advanced Analytics (DSAA), 1-10, 7344823.</w:t>
      </w:r>
    </w:p>
    <w:p>
      <w:pPr>
        <w:keepNext w:val="0"/>
        <w:keepLines w:val="0"/>
        <w:pageBreakBefore w:val="0"/>
        <w:widowControl/>
        <w:numPr>
          <w:numId w:val="0"/>
        </w:numPr>
        <w:suppressLineNumbers w:val="0"/>
        <w:kinsoku/>
        <w:wordWrap/>
        <w:overflowPunct/>
        <w:topLinePunct w:val="0"/>
        <w:autoSpaceDE/>
        <w:autoSpaceDN/>
        <w:bidi w:val="0"/>
        <w:adjustRightInd/>
        <w:snapToGrid/>
        <w:ind w:leftChars="0"/>
        <w:jc w:val="left"/>
        <w:textAlignment w:val="auto"/>
        <w:rPr>
          <w:rFonts w:hint="default"/>
          <w:b w:val="0"/>
          <w:bCs w:val="0"/>
          <w:color w:val="000000" w:themeColor="text1"/>
          <w:lang w:val="en-US" w:eastAsia="zh-CN"/>
          <w14:textFill>
            <w14:solidFill>
              <w14:schemeClr w14:val="tx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ind w:leftChars="0"/>
        <w:jc w:val="left"/>
        <w:textAlignment w:val="auto"/>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Duch J., Waitzman J.S., Amaral L.A.N. (2010). Quantifying the performance of individual </w:t>
      </w:r>
    </w:p>
    <w:p>
      <w:pPr>
        <w:keepNext w:val="0"/>
        <w:keepLines w:val="0"/>
        <w:pageBreakBefore w:val="0"/>
        <w:widowControl/>
        <w:numPr>
          <w:numId w:val="0"/>
        </w:numPr>
        <w:suppressLineNumbers w:val="0"/>
        <w:kinsoku/>
        <w:wordWrap/>
        <w:overflowPunct/>
        <w:topLinePunct w:val="0"/>
        <w:autoSpaceDE/>
        <w:autoSpaceDN/>
        <w:bidi w:val="0"/>
        <w:adjustRightInd/>
        <w:snapToGrid/>
        <w:ind w:leftChars="0"/>
        <w:jc w:val="left"/>
        <w:textAlignment w:val="auto"/>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players in a team activity. PLoS ONE, 5: e10937.</w:t>
      </w:r>
    </w:p>
    <w:p>
      <w:pPr>
        <w:keepNext w:val="0"/>
        <w:keepLines w:val="0"/>
        <w:pageBreakBefore w:val="0"/>
        <w:widowControl/>
        <w:numPr>
          <w:numId w:val="0"/>
        </w:numPr>
        <w:suppressLineNumbers w:val="0"/>
        <w:kinsoku/>
        <w:wordWrap/>
        <w:overflowPunct/>
        <w:topLinePunct w:val="0"/>
        <w:autoSpaceDE/>
        <w:autoSpaceDN/>
        <w:bidi w:val="0"/>
        <w:adjustRightInd/>
        <w:snapToGrid/>
        <w:ind w:leftChars="0"/>
        <w:jc w:val="left"/>
        <w:textAlignment w:val="auto"/>
        <w:rPr>
          <w:rFonts w:hint="default"/>
          <w:b w:val="0"/>
          <w:bCs w:val="0"/>
          <w:color w:val="000000" w:themeColor="text1"/>
          <w:lang w:val="en-US" w:eastAsia="zh-CN"/>
          <w14:textFill>
            <w14:solidFill>
              <w14:schemeClr w14:val="tx1"/>
            </w14:solidFill>
          </w14:textFill>
        </w:rPr>
      </w:pPr>
      <w:bookmarkStart w:id="0" w:name="_GoBack"/>
      <w:bookmarkEnd w:id="0"/>
    </w:p>
    <w:p>
      <w:pPr>
        <w:keepNext w:val="0"/>
        <w:keepLines w:val="0"/>
        <w:pageBreakBefore w:val="0"/>
        <w:widowControl/>
        <w:numPr>
          <w:numId w:val="0"/>
        </w:numPr>
        <w:suppressLineNumbers w:val="0"/>
        <w:kinsoku/>
        <w:wordWrap/>
        <w:overflowPunct/>
        <w:topLinePunct w:val="0"/>
        <w:autoSpaceDE/>
        <w:autoSpaceDN/>
        <w:bidi w:val="0"/>
        <w:adjustRightInd/>
        <w:snapToGrid/>
        <w:ind w:leftChars="0"/>
        <w:jc w:val="left"/>
        <w:textAlignment w:val="auto"/>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GÜRSAKAL, N., YILMAZ, F., ÇOBANOĞLU, H., ÇAĞLIYOR, S. (2018). Network Motifs in </w:t>
      </w:r>
    </w:p>
    <w:p>
      <w:pPr>
        <w:keepNext w:val="0"/>
        <w:keepLines w:val="0"/>
        <w:pageBreakBefore w:val="0"/>
        <w:widowControl/>
        <w:numPr>
          <w:numId w:val="0"/>
        </w:numPr>
        <w:suppressLineNumbers w:val="0"/>
        <w:kinsoku/>
        <w:wordWrap/>
        <w:overflowPunct/>
        <w:topLinePunct w:val="0"/>
        <w:autoSpaceDE/>
        <w:autoSpaceDN/>
        <w:bidi w:val="0"/>
        <w:adjustRightInd/>
        <w:snapToGrid/>
        <w:ind w:leftChars="0"/>
        <w:jc w:val="left"/>
        <w:textAlignment w:val="auto"/>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Football. Turkish Journal of Sport and Exercise, 20 (3), 263-272.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 w:name="TimesNewRomanPS-BoldM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amp;quot">
    <w:altName w:val="AMGD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TimesNewRomanPS-ItalicMT">
    <w:altName w:val="AMGD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F9A63"/>
    <w:multiLevelType w:val="singleLevel"/>
    <w:tmpl w:val="2BAF9A63"/>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213B21"/>
    <w:rsid w:val="6F213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2020-02-13T23:12:00Z</dcterms:created>
  <dc:creator>哈哈哈</dc:creator>
  <cp:lastModifiedBy>哈哈哈</cp:lastModifiedBy>
  <dcterms:modified xsi:type="dcterms:W3CDTF">2020-02-14T00:44:12Z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