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1980000" cy="501971"/>
            <wp:docPr id="1" name="Picture 1"/>
            <wp:cNvGraphicFramePr>
              <a:graphicFrameLocks noChangeAspect="1"/>
            </wp:cNvGraphicFramePr>
            <a:graphic>
              <a:graphicData uri="http://schemas.openxmlformats.org/drawingml/2006/picture">
                <pic:pic>
                  <pic:nvPicPr>
                    <pic:cNvPr id="0" name="pocstars_logo.png"/>
                    <pic:cNvPicPr/>
                  </pic:nvPicPr>
                  <pic:blipFill>
                    <a:blip r:embed="rId9"/>
                    <a:stretch>
                      <a:fillRect/>
                    </a:stretch>
                  </pic:blipFill>
                  <pic:spPr>
                    <a:xfrm>
                      <a:off x="0" y="0"/>
                      <a:ext cx="1980000" cy="501971"/>
                    </a:xfrm>
                    <a:prstGeom prst="rect"/>
                  </pic:spPr>
                </pic:pic>
              </a:graphicData>
            </a:graphic>
          </wp:inline>
        </w:drawing>
      </w:r>
    </w:p>
    <w:p/>
    <w:p/>
    <w:p/>
    <w:p/>
    <w:p>
      <w:pPr>
        <w:jc w:val="center"/>
      </w:pPr>
      <w:r>
        <w:rPr>
          <w:rFonts w:ascii="Arial" w:hAnsi="Arial" w:eastAsia="宋体" w:cs="Arial"/>
          <w:b/>
          <w:color w:val="333399"/>
          <w:sz w:val="30"/>
        </w:rPr>
        <w:t>行业解决方案</w:t>
      </w:r>
    </w:p>
    <w:p/>
    <w:p>
      <w:pPr>
        <w:jc w:val="center"/>
      </w:pPr>
      <w:r>
        <w:rPr>
          <w:rFonts w:ascii="Arial" w:hAnsi="Arial" w:eastAsia="宋体" w:cs="Arial"/>
          <w:b/>
          <w:color w:val="1F1F1F"/>
          <w:sz w:val="60"/>
        </w:rPr>
        <w:t>智慧园区一体化调度解决方案</w:t>
      </w:r>
    </w:p>
    <w:p/>
    <w:p>
      <w:pPr>
        <w:jc w:val="center"/>
      </w:pPr>
      <w:r>
        <w:rPr>
          <w:rFonts w:ascii="Arial" w:hAnsi="Arial" w:eastAsia="宋体" w:cs="Arial"/>
          <w:b w:val="0"/>
          <w:color w:val="404040"/>
          <w:sz w:val="28"/>
        </w:rPr>
        <w:t>行业 / 场景：智慧园区</w:t>
      </w:r>
    </w:p>
    <w:p/>
    <w:p>
      <w:pPr>
        <w:jc w:val="center"/>
      </w:pPr>
      <w:r>
        <w:rPr>
          <w:rFonts w:ascii="Arial" w:hAnsi="Arial" w:eastAsia="宋体" w:cs="Arial"/>
          <w:b w:val="0"/>
          <w:color w:val="404040"/>
          <w:sz w:val="28"/>
        </w:rPr>
        <w:t>选用产品：智能终端、调度平台</w:t>
      </w:r>
    </w:p>
    <w:p/>
    <w:p/>
    <w:p/>
    <w:p/>
    <w:p/>
    <w:p/>
    <w:p>
      <w:pPr>
        <w:jc w:val="center"/>
      </w:pPr>
      <w:r>
        <w:rPr>
          <w:rFonts w:ascii="Arial" w:hAnsi="Arial" w:eastAsia="宋体" w:cs="Arial"/>
          <w:b w:val="0"/>
          <w:color w:val="666666"/>
          <w:sz w:val="22"/>
        </w:rPr>
        <w:t>2026年9月3日</w:t>
      </w:r>
    </w:p>
    <w:p/>
    <w:p>
      <w:pPr>
        <w:jc w:val="center"/>
      </w:pPr>
      <w:r>
        <w:rPr>
          <w:rFonts w:ascii="Arial" w:hAnsi="Arial" w:eastAsia="宋体" w:cs="Arial"/>
          <w:b w:val="0"/>
          <w:color w:val="666666"/>
          <w:sz w:val="22"/>
        </w:rPr>
        <w:t>善理通益信息科技（深圳）有限公司</w:t>
      </w:r>
    </w:p>
    <w:p>
      <w:r>
        <w:br w:type="page"/>
      </w:r>
    </w:p>
    <w:p>
      <w:pPr>
        <w:spacing w:before="480" w:after="160"/>
      </w:pPr>
      <w:r>
        <w:rPr>
          <w:rFonts w:ascii="Arial" w:hAnsi="Arial" w:eastAsia="宋体" w:cs="Arial"/>
          <w:b/>
          <w:color w:val="333399"/>
          <w:sz w:val="32"/>
        </w:rPr>
        <w:t>版权信息</w:t>
      </w:r>
    </w:p>
    <w:p>
      <w:pPr>
        <w:spacing w:line="336" w:lineRule="auto"/>
        <w:jc w:val="both"/>
      </w:pPr>
      <w:r>
        <w:rPr>
          <w:rFonts w:ascii="Arial" w:hAnsi="Arial" w:eastAsia="宋体" w:cs="Arial"/>
          <w:color w:val="404040"/>
          <w:sz w:val="22"/>
        </w:rPr>
        <w:t>POCSTARS为善理通益信息科技（深圳）有限公司（以下简称“我司”）在中华人民共和国和世界其他国家和/或地区的商标或注册商标。我司仅对自有商标及产品名称享有所有权，本文中可能提及的其他商标和产品名称为各自所有者所有。</w:t>
      </w:r>
    </w:p>
    <w:p>
      <w:pPr>
        <w:spacing w:line="336" w:lineRule="auto"/>
        <w:jc w:val="both"/>
      </w:pPr>
      <w:r>
        <w:rPr>
          <w:rFonts w:ascii="Arial" w:hAnsi="Arial" w:eastAsia="宋体" w:cs="Arial"/>
          <w:color w:val="404040"/>
          <w:sz w:val="22"/>
        </w:rPr>
        <w:t>本文介绍的产品中可能包括存储于内存或其他媒介中的计算机程序。我司对此等程序享有的专有权利受中华人民共和国或其他国家及相关国际法的保护。购买本产品并不意味着我司以明示或暗示方式向购买者授予有关此等电脑程序的权益。未经我司事先书面授权，任何企业、组织或个人不得对计算机程序进行任何形式的复制、更改、散发、反编译和反向工程。</w:t>
      </w:r>
    </w:p>
    <w:p>
      <w:pPr>
        <w:spacing w:before="480" w:after="160"/>
      </w:pPr>
      <w:r>
        <w:rPr>
          <w:rFonts w:ascii="Arial" w:hAnsi="Arial" w:eastAsia="宋体" w:cs="Arial"/>
          <w:b/>
          <w:color w:val="333399"/>
          <w:sz w:val="32"/>
        </w:rPr>
        <w:t>免责声明</w:t>
      </w:r>
    </w:p>
    <w:p>
      <w:pPr>
        <w:spacing w:line="336" w:lineRule="auto"/>
        <w:jc w:val="both"/>
      </w:pPr>
      <w:r>
        <w:rPr>
          <w:rFonts w:ascii="Arial" w:hAnsi="Arial" w:eastAsia="宋体" w:cs="Arial"/>
          <w:color w:val="404040"/>
          <w:sz w:val="22"/>
        </w:rPr>
        <w:t>本文在编制过程中力求内容的准确性与完整性，但对于可能出现的错误或疏漏，我司不承担任何责任。由于技术的不断发展，我司保留不予通知而更改产品设计与规格的权利。未经我司事先书面授权，不得以任何形式对本文进行复制、修改、翻译和散发。</w:t>
      </w:r>
    </w:p>
    <w:p>
      <w:pPr>
        <w:spacing w:line="336" w:lineRule="auto"/>
        <w:jc w:val="both"/>
      </w:pPr>
      <w:r>
        <w:rPr>
          <w:rFonts w:ascii="Arial" w:hAnsi="Arial" w:eastAsia="宋体" w:cs="Arial"/>
          <w:color w:val="404040"/>
          <w:sz w:val="22"/>
        </w:rPr>
        <w:t>如需更多信息或对本文有任何建议，欢迎访问我们的网站：https://www.pocstars.cn/。</w:t>
      </w:r>
    </w:p>
    <w:p>
      <w:pPr>
        <w:sectPr>
          <w:pgSz w:w="11906" w:h="16838"/>
          <w:pgMar w:top="1134" w:right="1026" w:bottom="1134" w:left="1026" w:header="720" w:footer="720" w:gutter="0"/>
          <w:cols w:space="720"/>
          <w:docGrid w:linePitch="360"/>
        </w:sectPr>
      </w:pPr>
    </w:p>
    <w:p>
      <w:pPr>
        <w:spacing w:before="120" w:after="240"/>
      </w:pPr>
      <w:r>
        <w:rPr>
          <w:rFonts w:ascii="Arial" w:hAnsi="Arial" w:eastAsia="宋体" w:cs="Arial"/>
          <w:b/>
          <w:color w:val="333399"/>
          <w:sz w:val="36"/>
        </w:rPr>
        <w:t>目  录</w:t>
      </w:r>
    </w:p>
    <w:p>
      <w:r>
        <w:fldChar w:fldCharType="begin"/>
      </w:r>
      <w:r>
        <w:instrText xml:space="preserve"> TOC \o "1-2" \h \z \u </w:instrText>
      </w:r>
      <w:r>
        <w:fldChar w:fldCharType="separate"/>
      </w:r>
      <w:r>
        <w:rPr>
          <w:rFonts w:ascii="Arial" w:hAnsi="Arial" w:eastAsia="宋体" w:cs="Arial"/>
        </w:rPr>
        <w:t>目录将在打开文档时自动更新</w:t>
      </w:r>
      <w:r>
        <w:fldChar w:fldCharType="end"/>
      </w:r>
    </w:p>
    <w:p>
      <w:r>
        <w:br w:type="page"/>
      </w:r>
    </w:p>
    <w:p>
      <w:pPr>
        <w:pStyle w:val="Heading1"/>
      </w:pPr>
      <w:r>
        <w:rPr>
          <w:rFonts w:ascii="Arial" w:hAnsi="Arial" w:eastAsia="宋体" w:cs="Arial"/>
        </w:rPr>
        <w:t>方案概述</w:t>
      </w:r>
    </w:p>
    <w:p>
      <w:pPr>
        <w:pStyle w:val="Heading2"/>
      </w:pPr>
      <w:r>
        <w:rPr>
          <w:rFonts w:ascii="Arial" w:hAnsi="Arial" w:eastAsia="宋体" w:cs="Arial"/>
        </w:rPr>
        <w:t>行业 / 场景</w:t>
      </w:r>
    </w:p>
    <w:p>
      <w:r>
        <w:rPr>
          <w:rFonts w:ascii="Arial" w:hAnsi="Arial" w:eastAsia="宋体" w:cs="Arial"/>
        </w:rPr>
        <w:t>智慧园区</w:t>
      </w:r>
    </w:p>
    <w:p>
      <w:pPr>
        <w:pStyle w:val="Heading2"/>
      </w:pPr>
      <w:r>
        <w:rPr>
          <w:rFonts w:ascii="Arial" w:hAnsi="Arial" w:eastAsia="宋体" w:cs="Arial"/>
        </w:rPr>
        <w:t>选用产品</w:t>
      </w:r>
    </w:p>
    <w:p>
      <w:r>
        <w:rPr>
          <w:rFonts w:ascii="Arial" w:hAnsi="Arial" w:eastAsia="宋体" w:cs="Arial"/>
        </w:rPr>
        <w:t>智能终端, 调度平台</w:t>
      </w:r>
    </w:p>
    <w:p>
      <w:pPr>
        <w:pStyle w:val="Heading1"/>
      </w:pPr>
      <w:r>
        <w:rPr>
          <w:rFonts w:ascii="Arial" w:hAnsi="Arial" w:eastAsia="宋体" w:cs="Arial"/>
        </w:rPr>
        <w:t>1. 总体方案</w:t>
      </w:r>
    </w:p>
    <w:p>
      <w:r>
        <w:rPr>
          <w:rFonts w:ascii="Arial" w:hAnsi="Arial" w:eastAsia="宋体" w:cs="Arial"/>
        </w:rPr>
        <w:t>平台通过智能终端与调度平台协同，实现统一调度、实时定位与告警联动，单节点支持 300,000 在线并稳定运行。[1]</w:t>
      </w:r>
    </w:p>
    <w:p>
      <w:pPr>
        <w:pStyle w:val="Heading2"/>
      </w:pPr>
      <w:r>
        <w:rPr>
          <w:rFonts w:ascii="Arial" w:hAnsi="Arial" w:eastAsia="宋体" w:cs="Arial"/>
        </w:rPr>
        <w:t>1.1 系统架构</w:t>
      </w:r>
    </w:p>
    <w:tbl>
      <w:tblPr>
        <w:tblStyle w:val="TableGrid"/>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40" w:type="dxa"/>
          <w:left w:w="80" w:type="dxa"/>
          <w:bottom w:w="40" w:type="dxa"/>
          <w:right w:w="80" w:type="dxa"/>
        </w:tblCellMar>
      </w:tblPr>
      <w:tblGrid>
        <w:gridCol w:w="4927"/>
        <w:gridCol w:w="4927"/>
      </w:tblGrid>
      <w:tr>
        <w:trPr>
          <w:tblHeader w:val="true"/>
        </w:trPr>
        <w:tc>
          <w:tcPr>
            <w:tcW w:type="dxa" w:w="4927"/>
            <w:shd w:val="clear" w:color="auto" w:fill="333399"/>
          </w:tcPr>
          <w:p>
            <w:r>
              <w:rPr>
                <w:rFonts w:ascii="Arial" w:hAnsi="Arial" w:eastAsia="黑体" w:cs="Arial"/>
                <w:b/>
                <w:color w:val="FFFFFF"/>
              </w:rPr>
              <w:t>层级</w:t>
            </w:r>
          </w:p>
        </w:tc>
        <w:tc>
          <w:tcPr>
            <w:tcW w:type="dxa" w:w="4927"/>
            <w:shd w:val="clear" w:color="auto" w:fill="333399"/>
          </w:tcPr>
          <w:p>
            <w:r>
              <w:rPr>
                <w:rFonts w:ascii="Arial" w:hAnsi="Arial" w:eastAsia="黑体" w:cs="Arial"/>
                <w:b/>
                <w:color w:val="FFFFFF"/>
              </w:rPr>
              <w:t>能力</w:t>
            </w:r>
          </w:p>
        </w:tc>
      </w:tr>
      <w:tr>
        <w:tc>
          <w:tcPr>
            <w:tcW w:type="dxa" w:w="4927"/>
          </w:tcPr>
          <w:p>
            <w:r>
              <w:rPr>
                <w:rFonts w:ascii="Arial" w:hAnsi="Arial" w:eastAsia="黑体" w:cs="Arial"/>
              </w:rPr>
              <w:t>决策层</w:t>
            </w:r>
          </w:p>
        </w:tc>
        <w:tc>
          <w:tcPr>
            <w:tcW w:type="dxa" w:w="4927"/>
          </w:tcPr>
          <w:p>
            <w:r>
              <w:rPr>
                <w:rFonts w:ascii="Arial" w:hAnsi="Arial" w:eastAsia="黑体" w:cs="Arial"/>
              </w:rPr>
              <w:t>统一决策、预案调度</w:t>
            </w:r>
          </w:p>
        </w:tc>
      </w:tr>
      <w:tr>
        <w:tc>
          <w:tcPr>
            <w:tcW w:type="dxa" w:w="4927"/>
          </w:tcPr>
          <w:p>
            <w:r>
              <w:rPr>
                <w:rFonts w:ascii="Arial" w:hAnsi="Arial" w:eastAsia="黑体" w:cs="Arial"/>
              </w:rPr>
              <w:t>管理层</w:t>
            </w:r>
          </w:p>
        </w:tc>
        <w:tc>
          <w:tcPr>
            <w:tcW w:type="dxa" w:w="4927"/>
          </w:tcPr>
          <w:p>
            <w:r>
              <w:rPr>
                <w:rFonts w:ascii="Arial" w:hAnsi="Arial" w:eastAsia="黑体" w:cs="Arial"/>
              </w:rPr>
              <w:t>电子地图、轨迹回放</w:t>
            </w:r>
          </w:p>
        </w:tc>
      </w:tr>
      <w:tr>
        <w:tc>
          <w:tcPr>
            <w:tcW w:type="dxa" w:w="4927"/>
          </w:tcPr>
          <w:p>
            <w:r>
              <w:rPr>
                <w:rFonts w:ascii="Arial" w:hAnsi="Arial" w:eastAsia="黑体" w:cs="Arial"/>
              </w:rPr>
              <w:t>接入层</w:t>
            </w:r>
          </w:p>
        </w:tc>
        <w:tc>
          <w:tcPr>
            <w:tcW w:type="dxa" w:w="4927"/>
          </w:tcPr>
          <w:p>
            <w:r>
              <w:rPr>
                <w:rFonts w:ascii="Arial" w:hAnsi="Arial" w:eastAsia="黑体" w:cs="Arial"/>
              </w:rPr>
              <w:t>对讲、定位、视频联动</w:t>
            </w:r>
          </w:p>
        </w:tc>
      </w:tr>
    </w:tbl>
    <w:p>
      <w:pPr>
        <w:pStyle w:val="Heading2"/>
      </w:pPr>
      <w:r>
        <w:rPr>
          <w:rFonts w:ascii="Arial" w:hAnsi="Arial" w:eastAsia="宋体" w:cs="Arial"/>
        </w:rPr>
        <w:t>1.2 关键能力</w:t>
      </w:r>
    </w:p>
    <w:p>
      <w:pPr>
        <w:pStyle w:val="ListBullet"/>
      </w:pPr>
      <w:r>
        <w:rPr>
          <w:rFonts w:ascii="Arial" w:hAnsi="Arial" w:eastAsia="宋体" w:cs="Arial"/>
        </w:rPr>
        <w:t>多终端统一接入</w:t>
      </w:r>
    </w:p>
    <w:p>
      <w:pPr>
        <w:pStyle w:val="ListBullet"/>
      </w:pPr>
      <w:r>
        <w:rPr>
          <w:rFonts w:ascii="Arial" w:hAnsi="Arial" w:eastAsia="宋体" w:cs="Arial"/>
        </w:rPr>
        <w:t>跨层级联动告警</w:t>
      </w:r>
    </w:p>
    <w:p>
      <w:pPr>
        <w:pStyle w:val="ListBullet"/>
      </w:pPr>
      <w:r>
        <w:rPr>
          <w:rFonts w:ascii="Arial" w:hAnsi="Arial" w:eastAsia="宋体" w:cs="Arial"/>
        </w:rPr>
        <w:t>指挥调度闭环</w:t>
      </w:r>
    </w:p>
    <w:p>
      <w:pPr>
        <w:pStyle w:val="Heading1"/>
      </w:pPr>
      <w:r>
        <w:rPr>
          <w:rFonts w:ascii="Arial" w:hAnsi="Arial" w:eastAsia="宋体" w:cs="Arial"/>
        </w:rPr>
        <w:t>来源 / References</w:t>
      </w:r>
    </w:p>
    <w:p>
      <w:r>
        <w:rPr>
          <w:rFonts w:ascii="Arial" w:hAnsi="Arial" w:eastAsia="宋体" w:cs="Arial"/>
        </w:rPr>
        <w:t>[1] 智能终端 - 智能终端用户手册</w:t>
      </w:r>
    </w:p>
    <w:p>
      <w:pPr>
        <w:spacing w:before="600" w:after="120"/>
        <w:jc w:val="center"/>
        <w:pBdr>
          <w:top w:val="single" w:sz="12" w:space="6" w:color="C00000"/>
          <w:bottom w:val="single" w:sz="12" w:space="6" w:color="C00000"/>
        </w:pBdr>
      </w:pPr>
      <w:r>
        <w:rPr>
          <w:rFonts w:ascii="Arial" w:hAnsi="Arial" w:eastAsia="宋体" w:cs="Arial"/>
          <w:b/>
          <w:color w:val="C00000"/>
          <w:sz w:val="28"/>
        </w:rPr>
        <w:t>请注意，本内容由AI生成。</w:t>
      </w:r>
    </w:p>
    <w:sectPr w:rsidR="00FC693F" w:rsidRPr="0006063C" w:rsidSect="00034616">
      <w:headerReference w:type="default" r:id="rId10"/>
      <w:footerReference w:type="default" r:id="rId11"/>
      <w:pgSz w:w="11906" w:h="16838"/>
      <w:pgMar w:top="1134" w:right="1026" w:bottom="1134" w:left="10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r>
    <w:r>
      <w:instrText xml:space="preserve">  PAGE  </w:instrText>
    </w:r>
    <w:r>
      <w:fldChar w:fldCharType="separate"/>
    </w:r>
    <w:r>
      <w:rPr>
        <w:rFonts w:ascii="Arial" w:hAnsi="Arial" w:eastAsia="宋体" w:cs="Arial"/>
      </w:rPr>
      <w:t>1</w:t>
    </w:r>
    <w:r>
      <w:fldChar w:fldCharType="end"/>
    </w:r>
    <w:r>
      <w:rPr>
        <w:rFonts w:ascii="Arial" w:hAnsi="Arial" w:eastAsia="宋体" w:cs="Arial"/>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333399"/>
      </w:pBdr>
    </w:pPr>
    <w:r>
      <w:rPr>
        <w:rFonts w:ascii="Arial" w:hAnsi="Arial" w:eastAsia="宋体" w:cs="Arial"/>
        <w:color w:val="666666"/>
        <w:sz w:val="18"/>
      </w:rPr>
      <w:t>智慧园区一体化调度解决方案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宋体"/>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cs="Arial" w:eastAsia="宋体"/>
      <w:b/>
      <w:bCs/>
      <w:color w:val="33339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eastAsia="宋体"/>
      <w:b/>
      <w:bCs/>
      <w:color w:val="33339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宋体"/>
      <w:b/>
      <w:bCs/>
      <w:color w:val="333399"/>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cs="Arial" w:eastAsia="宋体"/>
      <w:b/>
      <w:bCs/>
      <w:i/>
      <w:iCs/>
      <w:color w:val="33339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宋体"/>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宋体"/>
      <w:b/>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宋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宋体"/>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宋体"/>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