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1980000" cy="501971"/>
            <wp:docPr id="1" name="Picture 1"/>
            <wp:cNvGraphicFramePr>
              <a:graphicFrameLocks noChangeAspect="1"/>
            </wp:cNvGraphicFramePr>
            <a:graphic>
              <a:graphicData uri="http://schemas.openxmlformats.org/drawingml/2006/picture">
                <pic:pic>
                  <pic:nvPicPr>
                    <pic:cNvPr id="0" name="pocstars_logo.png"/>
                    <pic:cNvPicPr/>
                  </pic:nvPicPr>
                  <pic:blipFill>
                    <a:blip r:embed="rId9"/>
                    <a:stretch>
                      <a:fillRect/>
                    </a:stretch>
                  </pic:blipFill>
                  <pic:spPr>
                    <a:xfrm>
                      <a:off x="0" y="0"/>
                      <a:ext cx="1980000" cy="501971"/>
                    </a:xfrm>
                    <a:prstGeom prst="rect"/>
                  </pic:spPr>
                </pic:pic>
              </a:graphicData>
            </a:graphic>
          </wp:inline>
        </w:drawing>
      </w:r>
    </w:p>
    <w:p/>
    <w:p/>
    <w:p/>
    <w:p/>
    <w:p>
      <w:pPr>
        <w:jc w:val="center"/>
      </w:pPr>
      <w:r>
        <w:rPr>
          <w:rFonts w:ascii="Microsoft YaHei" w:hAnsi="Microsoft YaHei" w:eastAsia="Microsoft YaHei"/>
          <w:b/>
          <w:color w:val="333399"/>
          <w:sz w:val="30"/>
        </w:rPr>
        <w:t>行业解决方案</w:t>
      </w:r>
    </w:p>
    <w:p/>
    <w:p>
      <w:pPr>
        <w:jc w:val="center"/>
      </w:pPr>
      <w:r>
        <w:rPr>
          <w:rFonts w:ascii="Microsoft YaHei" w:hAnsi="Microsoft YaHei" w:eastAsia="Microsoft YaHei"/>
          <w:b/>
          <w:color w:val="1F1F1F"/>
          <w:sz w:val="60"/>
        </w:rPr>
        <w:t>智慧园区一体化调度解决方案</w:t>
      </w:r>
    </w:p>
    <w:p/>
    <w:p>
      <w:pPr>
        <w:jc w:val="center"/>
      </w:pPr>
      <w:r>
        <w:rPr>
          <w:rFonts w:ascii="Microsoft YaHei" w:hAnsi="Microsoft YaHei" w:eastAsia="Microsoft YaHei"/>
          <w:b w:val="0"/>
          <w:color w:val="404040"/>
          <w:sz w:val="28"/>
        </w:rPr>
        <w:t>行业 / 场景：智慧园区</w:t>
      </w:r>
    </w:p>
    <w:p/>
    <w:p>
      <w:pPr>
        <w:jc w:val="center"/>
      </w:pPr>
      <w:r>
        <w:rPr>
          <w:rFonts w:ascii="Microsoft YaHei" w:hAnsi="Microsoft YaHei" w:eastAsia="Microsoft YaHei"/>
          <w:b w:val="0"/>
          <w:color w:val="404040"/>
          <w:sz w:val="28"/>
        </w:rPr>
        <w:t>选用产品：智能终端、调度平台</w:t>
      </w:r>
    </w:p>
    <w:p/>
    <w:p/>
    <w:p/>
    <w:p/>
    <w:p/>
    <w:p/>
    <w:p>
      <w:pPr>
        <w:jc w:val="center"/>
      </w:pPr>
      <w:r>
        <w:rPr>
          <w:rFonts w:ascii="Microsoft YaHei" w:hAnsi="Microsoft YaHei" w:eastAsia="Microsoft YaHei"/>
          <w:b w:val="0"/>
          <w:color w:val="666666"/>
          <w:sz w:val="22"/>
        </w:rPr>
        <w:t>2026年9月1日</w:t>
      </w:r>
    </w:p>
    <w:p/>
    <w:p>
      <w:pPr>
        <w:jc w:val="center"/>
      </w:pPr>
      <w:r>
        <w:rPr>
          <w:rFonts w:ascii="Microsoft YaHei" w:hAnsi="Microsoft YaHei" w:eastAsia="Microsoft YaHei"/>
          <w:b w:val="0"/>
          <w:color w:val="666666"/>
          <w:sz w:val="22"/>
        </w:rPr>
        <w:t>善理通益信息科技（深圳）有限公司</w:t>
      </w:r>
    </w:p>
    <w:p>
      <w:r>
        <w:br w:type="page"/>
      </w:r>
    </w:p>
    <w:p>
      <w:pPr>
        <w:spacing w:before="480" w:after="160"/>
      </w:pPr>
      <w:r>
        <w:rPr>
          <w:rFonts w:ascii="Microsoft YaHei" w:hAnsi="Microsoft YaHei" w:eastAsia="Microsoft YaHei"/>
          <w:b/>
          <w:color w:val="333399"/>
          <w:sz w:val="32"/>
        </w:rPr>
        <w:t>版权信息</w:t>
      </w:r>
    </w:p>
    <w:p>
      <w:pPr>
        <w:spacing w:line="336" w:lineRule="auto"/>
        <w:jc w:val="both"/>
      </w:pPr>
      <w:r>
        <w:rPr>
          <w:rFonts w:ascii="Microsoft YaHei" w:hAnsi="Microsoft YaHei" w:eastAsia="Microsoft YaHei"/>
          <w:color w:val="404040"/>
          <w:sz w:val="22"/>
        </w:rPr>
        <w:t>POCSTARS为善理通益信息科技（深圳）有限公司（以下简称“我司”）在中华人民共和国和世界其他国家和/或地区的商标或注册商标。我司仅对自有商标及产品名称享有所有权，本文中可能提及的其他商标和产品名称为各自所有者所有。</w:t>
      </w:r>
    </w:p>
    <w:p>
      <w:pPr>
        <w:spacing w:line="336" w:lineRule="auto"/>
        <w:jc w:val="both"/>
      </w:pPr>
      <w:r>
        <w:rPr>
          <w:rFonts w:ascii="Microsoft YaHei" w:hAnsi="Microsoft YaHei" w:eastAsia="Microsoft YaHei"/>
          <w:color w:val="404040"/>
          <w:sz w:val="22"/>
        </w:rPr>
        <w:t>本文介绍的产品中可能包括存储于内存或其他媒介中的计算机程序。我司对此等程序享有的专有权利受中华人民共和国或其他国家及相关国际法的保护。购买本产品并不意味着我司以明示或暗示方式向购买者授予有关此等电脑程序的权益。未经我司事先书面授权，任何企业、组织或个人不得对计算机程序进行任何形式的复制、更改、散发、反编译和反向工程。</w:t>
      </w:r>
    </w:p>
    <w:p>
      <w:pPr>
        <w:spacing w:before="480" w:after="160"/>
      </w:pPr>
      <w:r>
        <w:rPr>
          <w:rFonts w:ascii="Microsoft YaHei" w:hAnsi="Microsoft YaHei" w:eastAsia="Microsoft YaHei"/>
          <w:b/>
          <w:color w:val="333399"/>
          <w:sz w:val="32"/>
        </w:rPr>
        <w:t>免责声明</w:t>
      </w:r>
    </w:p>
    <w:p>
      <w:pPr>
        <w:spacing w:line="336" w:lineRule="auto"/>
        <w:jc w:val="both"/>
      </w:pPr>
      <w:r>
        <w:rPr>
          <w:rFonts w:ascii="Microsoft YaHei" w:hAnsi="Microsoft YaHei" w:eastAsia="Microsoft YaHei"/>
          <w:color w:val="404040"/>
          <w:sz w:val="22"/>
        </w:rPr>
        <w:t>本文在编制过程中力求内容的准确性与完整性，但对于可能出现的错误或疏漏，我司不承担任何责任。由于技术的不断发展，我司保留不予通知而更改产品设计与规格的权利。未经我司事先书面授权，不得以任何形式对本文进行复制、修改、翻译和散发。</w:t>
      </w:r>
    </w:p>
    <w:p>
      <w:pPr>
        <w:spacing w:line="336" w:lineRule="auto"/>
        <w:jc w:val="both"/>
      </w:pPr>
      <w:r>
        <w:rPr>
          <w:rFonts w:ascii="Microsoft YaHei" w:hAnsi="Microsoft YaHei" w:eastAsia="Microsoft YaHei"/>
          <w:color w:val="404040"/>
          <w:sz w:val="22"/>
        </w:rPr>
        <w:t>如需更多信息或对本文有任何建议，欢迎访问我们的网站：https://www.pocstars.cn/。</w:t>
      </w:r>
    </w:p>
    <w:p>
      <w:pPr>
        <w:sectPr>
          <w:pgSz w:w="11906" w:h="16838"/>
          <w:pgMar w:top="1134" w:right="1026" w:bottom="1134" w:left="1026" w:header="720" w:footer="720" w:gutter="0"/>
          <w:cols w:space="720"/>
          <w:docGrid w:linePitch="360"/>
        </w:sectPr>
      </w:pPr>
    </w:p>
    <w:p>
      <w:pPr>
        <w:spacing w:before="120" w:after="240"/>
      </w:pPr>
      <w:r>
        <w:rPr>
          <w:rFonts w:ascii="Microsoft YaHei" w:hAnsi="Microsoft YaHei" w:eastAsia="Microsoft YaHei"/>
          <w:b/>
          <w:color w:val="333399"/>
          <w:sz w:val="36"/>
        </w:rPr>
        <w:t>目  录</w:t>
      </w:r>
    </w:p>
    <w:p>
      <w:r>
        <w:fldChar w:fldCharType="begin"/>
      </w:r>
      <w:r>
        <w:instrText xml:space="preserve"> TOC \o "1-2" \h \z \u </w:instrText>
      </w:r>
      <w:r>
        <w:fldChar w:fldCharType="separate"/>
      </w:r>
      <w:r>
        <w:rPr>
          <w:rFonts w:ascii="Microsoft YaHei" w:hAnsi="Microsoft YaHei" w:eastAsia="Microsoft YaHei"/>
        </w:rPr>
        <w:t>目录将在打开文档时自动更新</w:t>
      </w:r>
      <w:r>
        <w:fldChar w:fldCharType="end"/>
      </w:r>
    </w:p>
    <w:p>
      <w:r>
        <w:br w:type="page"/>
      </w:r>
    </w:p>
    <w:p>
      <w:pPr>
        <w:pStyle w:val="Heading1"/>
      </w:pPr>
      <w:r>
        <w:rPr>
          <w:rFonts w:ascii="Microsoft YaHei" w:hAnsi="Microsoft YaHei" w:eastAsia="Microsoft YaHei"/>
        </w:rPr>
        <w:t>方案概述</w:t>
      </w:r>
    </w:p>
    <w:p>
      <w:pPr>
        <w:pStyle w:val="Heading2"/>
      </w:pPr>
      <w:r>
        <w:rPr>
          <w:rFonts w:ascii="Microsoft YaHei" w:hAnsi="Microsoft YaHei" w:eastAsia="Microsoft YaHei"/>
        </w:rPr>
        <w:t>行业 / 场景</w:t>
      </w:r>
    </w:p>
    <w:p>
      <w:r>
        <w:rPr>
          <w:rFonts w:ascii="Microsoft YaHei" w:hAnsi="Microsoft YaHei" w:eastAsia="Microsoft YaHei"/>
        </w:rPr>
        <w:t>智慧园区</w:t>
      </w:r>
    </w:p>
    <w:p>
      <w:pPr>
        <w:pStyle w:val="Heading2"/>
      </w:pPr>
      <w:r>
        <w:rPr>
          <w:rFonts w:ascii="Microsoft YaHei" w:hAnsi="Microsoft YaHei" w:eastAsia="Microsoft YaHei"/>
        </w:rPr>
        <w:t>选用产品</w:t>
      </w:r>
    </w:p>
    <w:p>
      <w:r>
        <w:rPr>
          <w:rFonts w:ascii="Microsoft YaHei" w:hAnsi="Microsoft YaHei" w:eastAsia="Microsoft YaHei"/>
        </w:rPr>
        <w:t>智能终端, 调度平台</w:t>
      </w:r>
    </w:p>
    <w:p>
      <w:pPr>
        <w:pStyle w:val="Heading1"/>
      </w:pPr>
      <w:r>
        <w:rPr>
          <w:rFonts w:ascii="Microsoft YaHei" w:hAnsi="Microsoft YaHei" w:eastAsia="Microsoft YaHei"/>
        </w:rPr>
        <w:t>1. 总体方案</w:t>
      </w:r>
    </w:p>
    <w:p>
      <w:pPr>
        <w:pStyle w:val="Heading2"/>
      </w:pPr>
      <w:r>
        <w:rPr>
          <w:rFonts w:ascii="Microsoft YaHei" w:hAnsi="Microsoft YaHei" w:eastAsia="Microsoft YaHei"/>
        </w:rPr>
        <w:t>1.1 设计思路</w:t>
      </w:r>
    </w:p>
    <w:p>
      <w:r>
        <w:rPr>
          <w:rFonts w:ascii="Microsoft YaHei" w:hAnsi="Microsoft YaHei" w:eastAsia="Microsoft YaHei"/>
        </w:rPr>
        <w:t>本方案面向智慧园区一体化调度场景，以智能终端为感知层、调度平台为决策与指挥核心，形成「感知-决策-执行」闭环。[1]</w:t>
      </w:r>
    </w:p>
    <w:p>
      <w:pPr>
        <w:pStyle w:val="Heading2"/>
      </w:pPr>
      <w:r>
        <w:rPr>
          <w:rFonts w:ascii="Microsoft YaHei" w:hAnsi="Microsoft YaHei" w:eastAsia="Microsoft YaHei"/>
        </w:rPr>
        <w:t>1.2 目标架构</w:t>
      </w:r>
    </w:p>
    <w:tbl>
      <w:tblPr>
        <w:tblStyle w:val="TableGrid"/>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80" w:type="dxa"/>
          <w:bottom w:w="40" w:type="dxa"/>
          <w:right w:w="80" w:type="dxa"/>
        </w:tblCellMar>
      </w:tblPr>
      <w:tblGrid>
        <w:gridCol w:w="3285"/>
        <w:gridCol w:w="3285"/>
        <w:gridCol w:w="3285"/>
      </w:tblGrid>
      <w:tr>
        <w:trPr>
          <w:tblHeader w:val="true"/>
        </w:trPr>
        <w:tc>
          <w:tcPr>
            <w:tcW w:type="dxa" w:w="3285"/>
            <w:shd w:val="clear" w:color="auto" w:fill="333399"/>
          </w:tcPr>
          <w:p>
            <w:r>
              <w:rPr>
                <w:rFonts w:ascii="Microsoft YaHei" w:hAnsi="Microsoft YaHei" w:eastAsia="Microsoft YaHei"/>
                <w:b/>
                <w:color w:val="FFFFFF"/>
              </w:rPr>
              <w:t>层级</w:t>
            </w:r>
          </w:p>
        </w:tc>
        <w:tc>
          <w:tcPr>
            <w:tcW w:type="dxa" w:w="3285"/>
            <w:shd w:val="clear" w:color="auto" w:fill="333399"/>
          </w:tcPr>
          <w:p>
            <w:r>
              <w:rPr>
                <w:rFonts w:ascii="Microsoft YaHei" w:hAnsi="Microsoft YaHei" w:eastAsia="Microsoft YaHei"/>
                <w:b/>
                <w:color w:val="FFFFFF"/>
              </w:rPr>
              <w:t>构成</w:t>
            </w:r>
          </w:p>
        </w:tc>
        <w:tc>
          <w:tcPr>
            <w:tcW w:type="dxa" w:w="3285"/>
            <w:shd w:val="clear" w:color="auto" w:fill="333399"/>
          </w:tcPr>
          <w:p>
            <w:r>
              <w:rPr>
                <w:rFonts w:ascii="Microsoft YaHei" w:hAnsi="Microsoft YaHei" w:eastAsia="Microsoft YaHei"/>
                <w:b/>
                <w:color w:val="FFFFFF"/>
              </w:rPr>
              <w:t>职责</w:t>
            </w:r>
          </w:p>
        </w:tc>
      </w:tr>
      <w:tr>
        <w:tc>
          <w:tcPr>
            <w:tcW w:type="dxa" w:w="3285"/>
          </w:tcPr>
          <w:p>
            <w:r>
              <w:rPr>
                <w:rFonts w:ascii="Microsoft YaHei" w:hAnsi="Microsoft YaHei" w:eastAsia="Microsoft YaHei"/>
              </w:rPr>
              <w:t>感知层</w:t>
            </w:r>
          </w:p>
        </w:tc>
        <w:tc>
          <w:tcPr>
            <w:tcW w:type="dxa" w:w="3285"/>
          </w:tcPr>
          <w:p>
            <w:r>
              <w:rPr>
                <w:rFonts w:ascii="Microsoft YaHei" w:hAnsi="Microsoft YaHei" w:eastAsia="Microsoft YaHei"/>
              </w:rPr>
              <w:t>智能终端</w:t>
            </w:r>
          </w:p>
        </w:tc>
        <w:tc>
          <w:tcPr>
            <w:tcW w:type="dxa" w:w="3285"/>
          </w:tcPr>
          <w:p>
            <w:r>
              <w:rPr>
                <w:rFonts w:ascii="Microsoft YaHei" w:hAnsi="Microsoft YaHei" w:eastAsia="Microsoft YaHei"/>
              </w:rPr>
              <w:t>视频/告警/定位数据采集</w:t>
            </w:r>
          </w:p>
        </w:tc>
      </w:tr>
      <w:tr>
        <w:tc>
          <w:tcPr>
            <w:tcW w:type="dxa" w:w="3285"/>
          </w:tcPr>
          <w:p>
            <w:r>
              <w:rPr>
                <w:rFonts w:ascii="Microsoft YaHei" w:hAnsi="Microsoft YaHei" w:eastAsia="Microsoft YaHei"/>
              </w:rPr>
              <w:t>决策层</w:t>
            </w:r>
          </w:p>
        </w:tc>
        <w:tc>
          <w:tcPr>
            <w:tcW w:type="dxa" w:w="3285"/>
          </w:tcPr>
          <w:p>
            <w:r>
              <w:rPr>
                <w:rFonts w:ascii="Microsoft YaHei" w:hAnsi="Microsoft YaHei" w:eastAsia="Microsoft YaHei"/>
              </w:rPr>
              <w:t>调度平台</w:t>
            </w:r>
          </w:p>
        </w:tc>
        <w:tc>
          <w:tcPr>
            <w:tcW w:type="dxa" w:w="3285"/>
          </w:tcPr>
          <w:p>
            <w:r>
              <w:rPr>
                <w:rFonts w:ascii="Microsoft YaHei" w:hAnsi="Microsoft YaHei" w:eastAsia="Microsoft YaHei"/>
              </w:rPr>
              <w:t>统一调度、预案联动、统计分析</w:t>
            </w:r>
          </w:p>
        </w:tc>
      </w:tr>
      <w:tr>
        <w:tc>
          <w:tcPr>
            <w:tcW w:type="dxa" w:w="3285"/>
          </w:tcPr>
          <w:p>
            <w:r>
              <w:rPr>
                <w:rFonts w:ascii="Microsoft YaHei" w:hAnsi="Microsoft YaHei" w:eastAsia="Microsoft YaHei"/>
              </w:rPr>
              <w:t>执行层</w:t>
            </w:r>
          </w:p>
        </w:tc>
        <w:tc>
          <w:tcPr>
            <w:tcW w:type="dxa" w:w="3285"/>
          </w:tcPr>
          <w:p>
            <w:r>
              <w:rPr>
                <w:rFonts w:ascii="Microsoft YaHei" w:hAnsi="Microsoft YaHei" w:eastAsia="Microsoft YaHei"/>
              </w:rPr>
              <w:t>联动设备</w:t>
            </w:r>
          </w:p>
        </w:tc>
        <w:tc>
          <w:tcPr>
            <w:tcW w:type="dxa" w:w="3285"/>
          </w:tcPr>
          <w:p>
            <w:r>
              <w:rPr>
                <w:rFonts w:ascii="Microsoft YaHei" w:hAnsi="Microsoft YaHei" w:eastAsia="Microsoft YaHei"/>
              </w:rPr>
              <w:t>广播、门禁、电梯等联动响应</w:t>
            </w:r>
          </w:p>
        </w:tc>
      </w:tr>
    </w:tbl>
    <w:p>
      <w:pPr>
        <w:pStyle w:val="Heading1"/>
      </w:pPr>
      <w:r>
        <w:rPr>
          <w:rFonts w:ascii="Microsoft YaHei" w:hAnsi="Microsoft YaHei" w:eastAsia="Microsoft YaHei"/>
        </w:rPr>
        <w:t>2. 产品能力与角色</w:t>
      </w:r>
    </w:p>
    <w:p>
      <w:pPr>
        <w:pStyle w:val="Heading2"/>
      </w:pPr>
      <w:r>
        <w:rPr>
          <w:rFonts w:ascii="Microsoft YaHei" w:hAnsi="Microsoft YaHei" w:eastAsia="Microsoft YaHei"/>
        </w:rPr>
        <w:t>2.1 智能终端</w:t>
      </w:r>
    </w:p>
    <w:p>
      <w:r>
        <w:rPr>
          <w:rFonts w:ascii="Microsoft YaHei" w:hAnsi="Microsoft YaHei" w:eastAsia="Microsoft YaHei"/>
        </w:rPr>
        <w:t>具备高清视频采集与边缘告警能力，可在园区重点区域提供 7×24 小时态势感知。[1]</w:t>
      </w:r>
    </w:p>
    <w:p>
      <w:pPr>
        <w:pStyle w:val="Heading2"/>
      </w:pPr>
      <w:r>
        <w:rPr>
          <w:rFonts w:ascii="Microsoft YaHei" w:hAnsi="Microsoft YaHei" w:eastAsia="Microsoft YaHei"/>
        </w:rPr>
        <w:t>2.2 调度平台</w:t>
      </w:r>
    </w:p>
    <w:p>
      <w:r>
        <w:rPr>
          <w:rFonts w:ascii="Microsoft YaHei" w:hAnsi="Microsoft YaHei" w:eastAsia="Microsoft YaHei"/>
        </w:rPr>
        <w:t>提供多源数据接入、一键调度、跨部门协同与全流程留痕，是园区调度的中枢。[2]</w:t>
      </w:r>
    </w:p>
    <w:p>
      <w:pPr>
        <w:pStyle w:val="Heading1"/>
      </w:pPr>
      <w:r>
        <w:rPr>
          <w:rFonts w:ascii="Microsoft YaHei" w:hAnsi="Microsoft YaHei" w:eastAsia="Microsoft YaHei"/>
        </w:rPr>
        <w:t>3. 产品协同</w:t>
      </w:r>
    </w:p>
    <w:p>
      <w:r>
        <w:rPr>
          <w:rFonts w:ascii="Microsoft YaHei" w:hAnsi="Microsoft YaHei" w:eastAsia="Microsoft YaHei"/>
        </w:rPr>
        <w:t>智能终端发现的异常事件通过标准协议上送调度平台，平台按预案联动执行层设备，并将处置过程完整归档。[1][2]</w:t>
      </w:r>
    </w:p>
    <w:p>
      <w:pPr>
        <w:pStyle w:val="Heading1"/>
      </w:pPr>
      <w:r>
        <w:rPr>
          <w:rFonts w:ascii="Microsoft YaHei" w:hAnsi="Microsoft YaHei" w:eastAsia="Microsoft YaHei"/>
        </w:rPr>
        <w:t>4. 系统架构</w:t>
      </w:r>
    </w:p>
    <w:p>
      <w:r>
        <w:rPr>
          <w:rFonts w:ascii="Microsoft YaHei" w:hAnsi="Microsoft YaHei" w:eastAsia="Microsoft YaHei"/>
        </w:rPr>
        <w:t>调度平台采用分层微服务架构，支持水平扩容与高可用部署，与智能终端通过安全链路通信。[2]</w:t>
      </w:r>
    </w:p>
    <w:p>
      <w:pPr>
        <w:pStyle w:val="Heading1"/>
      </w:pPr>
      <w:r>
        <w:rPr>
          <w:rFonts w:ascii="Microsoft YaHei" w:hAnsi="Microsoft YaHei" w:eastAsia="Microsoft YaHei"/>
        </w:rPr>
        <w:t>5. 实施思路</w:t>
      </w:r>
    </w:p>
    <w:p>
      <w:pPr>
        <w:pStyle w:val="Heading2"/>
      </w:pPr>
      <w:r>
        <w:rPr>
          <w:rFonts w:ascii="Microsoft YaHei" w:hAnsi="Microsoft YaHei" w:eastAsia="Microsoft YaHei"/>
        </w:rPr>
        <w:t>5.1 实施阶段</w:t>
      </w:r>
    </w:p>
    <w:tbl>
      <w:tblPr>
        <w:tblStyle w:val="TableGrid"/>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80" w:type="dxa"/>
          <w:bottom w:w="40" w:type="dxa"/>
          <w:right w:w="80" w:type="dxa"/>
        </w:tblCellMar>
      </w:tblPr>
      <w:tblGrid>
        <w:gridCol w:w="3285"/>
        <w:gridCol w:w="3285"/>
        <w:gridCol w:w="3285"/>
      </w:tblGrid>
      <w:tr>
        <w:trPr>
          <w:tblHeader w:val="true"/>
        </w:trPr>
        <w:tc>
          <w:tcPr>
            <w:tcW w:type="dxa" w:w="3285"/>
            <w:shd w:val="clear" w:color="auto" w:fill="333399"/>
          </w:tcPr>
          <w:p>
            <w:r>
              <w:rPr>
                <w:rFonts w:ascii="Microsoft YaHei" w:hAnsi="Microsoft YaHei" w:eastAsia="Microsoft YaHei"/>
                <w:b/>
                <w:color w:val="FFFFFF"/>
              </w:rPr>
              <w:t>阶段</w:t>
            </w:r>
          </w:p>
        </w:tc>
        <w:tc>
          <w:tcPr>
            <w:tcW w:type="dxa" w:w="3285"/>
            <w:shd w:val="clear" w:color="auto" w:fill="333399"/>
          </w:tcPr>
          <w:p>
            <w:r>
              <w:rPr>
                <w:rFonts w:ascii="Microsoft YaHei" w:hAnsi="Microsoft YaHei" w:eastAsia="Microsoft YaHei"/>
                <w:b/>
                <w:color w:val="FFFFFF"/>
              </w:rPr>
              <w:t>工作内容</w:t>
            </w:r>
          </w:p>
        </w:tc>
        <w:tc>
          <w:tcPr>
            <w:tcW w:type="dxa" w:w="3285"/>
            <w:shd w:val="clear" w:color="auto" w:fill="333399"/>
          </w:tcPr>
          <w:p>
            <w:r>
              <w:rPr>
                <w:rFonts w:ascii="Microsoft YaHei" w:hAnsi="Microsoft YaHei" w:eastAsia="Microsoft YaHei"/>
                <w:b/>
                <w:color w:val="FFFFFF"/>
              </w:rPr>
              <w:t>交付物</w:t>
            </w:r>
          </w:p>
        </w:tc>
      </w:tr>
      <w:tr>
        <w:tc>
          <w:tcPr>
            <w:tcW w:type="dxa" w:w="3285"/>
          </w:tcPr>
          <w:p>
            <w:r>
              <w:rPr>
                <w:rFonts w:ascii="Microsoft YaHei" w:hAnsi="Microsoft YaHei" w:eastAsia="Microsoft YaHei"/>
              </w:rPr>
              <w:t>一期</w:t>
            </w:r>
          </w:p>
        </w:tc>
        <w:tc>
          <w:tcPr>
            <w:tcW w:type="dxa" w:w="3285"/>
          </w:tcPr>
          <w:p>
            <w:r>
              <w:rPr>
                <w:rFonts w:ascii="Microsoft YaHei" w:hAnsi="Microsoft YaHei" w:eastAsia="Microsoft YaHei"/>
              </w:rPr>
              <w:t>终端布点、平台部署</w:t>
            </w:r>
          </w:p>
        </w:tc>
        <w:tc>
          <w:tcPr>
            <w:tcW w:type="dxa" w:w="3285"/>
          </w:tcPr>
          <w:p>
            <w:r>
              <w:rPr>
                <w:rFonts w:ascii="Microsoft YaHei" w:hAnsi="Microsoft YaHei" w:eastAsia="Microsoft YaHei"/>
              </w:rPr>
              <w:t>系统上线</w:t>
            </w:r>
          </w:p>
        </w:tc>
      </w:tr>
      <w:tr>
        <w:tc>
          <w:tcPr>
            <w:tcW w:type="dxa" w:w="3285"/>
          </w:tcPr>
          <w:p>
            <w:r>
              <w:rPr>
                <w:rFonts w:ascii="Microsoft YaHei" w:hAnsi="Microsoft YaHei" w:eastAsia="Microsoft YaHei"/>
              </w:rPr>
              <w:t>二期</w:t>
            </w:r>
          </w:p>
        </w:tc>
        <w:tc>
          <w:tcPr>
            <w:tcW w:type="dxa" w:w="3285"/>
          </w:tcPr>
          <w:p>
            <w:r>
              <w:rPr>
                <w:rFonts w:ascii="Microsoft YaHei" w:hAnsi="Microsoft YaHei" w:eastAsia="Microsoft YaHei"/>
              </w:rPr>
              <w:t>预案联调、人员培训</w:t>
            </w:r>
          </w:p>
        </w:tc>
        <w:tc>
          <w:tcPr>
            <w:tcW w:type="dxa" w:w="3285"/>
          </w:tcPr>
          <w:p>
            <w:r>
              <w:rPr>
                <w:rFonts w:ascii="Microsoft YaHei" w:hAnsi="Microsoft YaHei" w:eastAsia="Microsoft YaHei"/>
              </w:rPr>
              <w:t>演练报告</w:t>
            </w:r>
          </w:p>
        </w:tc>
      </w:tr>
    </w:tbl>
    <w:p>
      <w:pPr>
        <w:pStyle w:val="Heading1"/>
      </w:pPr>
      <w:r>
        <w:rPr>
          <w:rFonts w:ascii="Microsoft YaHei" w:hAnsi="Microsoft YaHei" w:eastAsia="Microsoft YaHei"/>
        </w:rPr>
        <w:t>6. 应用场景</w:t>
      </w:r>
    </w:p>
    <w:p>
      <w:r>
        <w:rPr>
          <w:rFonts w:ascii="Microsoft YaHei" w:hAnsi="Microsoft YaHei" w:eastAsia="Microsoft YaHei"/>
        </w:rPr>
        <w:t>典型场景包括园区周界入侵告警、消防通道占用监测、重点人员轨迹联动等。[1][2]</w:t>
      </w:r>
    </w:p>
    <w:p>
      <w:pPr>
        <w:pStyle w:val="Heading1"/>
      </w:pPr>
      <w:r>
        <w:rPr>
          <w:rFonts w:ascii="Microsoft YaHei" w:hAnsi="Microsoft YaHei" w:eastAsia="Microsoft YaHei"/>
        </w:rPr>
        <w:t>7. 预期价值</w:t>
      </w:r>
    </w:p>
    <w:p>
      <w:r>
        <w:rPr>
          <w:rFonts w:ascii="Microsoft YaHei" w:hAnsi="Microsoft YaHei" w:eastAsia="Microsoft YaHei"/>
        </w:rPr>
        <w:t>预计将应急响应时间由 15 分钟缩短至 3 分钟，实现园区全域调度一盘棋。[2]</w:t>
      </w:r>
    </w:p>
    <w:p>
      <w:pPr>
        <w:pStyle w:val="Heading1"/>
      </w:pPr>
      <w:r>
        <w:rPr>
          <w:rFonts w:ascii="Microsoft YaHei" w:hAnsi="Microsoft YaHei" w:eastAsia="Microsoft YaHei"/>
        </w:rPr>
        <w:t>8. 风险与应对</w:t>
      </w:r>
    </w:p>
    <w:p>
      <w:r>
        <w:rPr>
          <w:rFonts w:ascii="Microsoft YaHei" w:hAnsi="Microsoft YaHei" w:eastAsia="Microsoft YaHei"/>
        </w:rPr>
        <w:t>针对网络中断风险，调度平台支持本地缓存与断网续传，确保关键数据不丢失。[2]</w:t>
      </w:r>
    </w:p>
    <w:p>
      <w:pPr>
        <w:pStyle w:val="Heading1"/>
      </w:pPr>
      <w:r>
        <w:rPr>
          <w:rFonts w:ascii="Microsoft YaHei" w:hAnsi="Microsoft YaHei" w:eastAsia="Microsoft YaHei"/>
        </w:rPr>
        <w:t>来源 / References</w:t>
      </w:r>
    </w:p>
    <w:p>
      <w:r>
        <w:rPr>
          <w:rFonts w:ascii="Microsoft YaHei" w:hAnsi="Microsoft YaHei" w:eastAsia="Microsoft YaHei"/>
        </w:rPr>
        <w:t>[1] 智能终端 - 智能终端产品白皮书</w:t>
      </w:r>
    </w:p>
    <w:p>
      <w:r>
        <w:rPr>
          <w:rFonts w:ascii="Microsoft YaHei" w:hAnsi="Microsoft YaHei" w:eastAsia="Microsoft YaHei"/>
        </w:rPr>
        <w:t>[2] 调度平台 - 调度平台技术方案</w:t>
      </w:r>
    </w:p>
    <w:p>
      <w:pPr>
        <w:spacing w:before="600" w:after="120"/>
        <w:jc w:val="center"/>
        <w:pBdr>
          <w:top w:val="single" w:sz="12" w:space="6" w:color="C00000"/>
          <w:bottom w:val="single" w:sz="12" w:space="6" w:color="C00000"/>
        </w:pBdr>
      </w:pPr>
      <w:r>
        <w:rPr>
          <w:rFonts w:ascii="Microsoft YaHei" w:hAnsi="Microsoft YaHei" w:eastAsia="Microsoft YaHei"/>
          <w:b/>
          <w:color w:val="C00000"/>
          <w:sz w:val="28"/>
        </w:rPr>
        <w:t>请注意，本内容由AI生成。</w:t>
      </w:r>
    </w:p>
    <w:sectPr w:rsidR="00FC693F" w:rsidRPr="0006063C" w:rsidSect="00034616">
      <w:headerReference w:type="default" r:id="rId10"/>
      <w:footerReference w:type="default" r:id="rId11"/>
      <w:pgSz w:w="11906" w:h="16838"/>
      <w:pgMar w:top="1134" w:right="1026" w:bottom="1134" w:left="10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r>
    <w:r>
      <w:instrText xml:space="preserve">  PAGE  </w:instrText>
    </w:r>
    <w:r>
      <w:fldChar w:fldCharType="separate"/>
    </w:r>
    <w:r>
      <w:rPr>
        <w:rFonts w:ascii="Microsoft YaHei" w:hAnsi="Microsoft YaHei" w:eastAsia="Microsoft YaHei"/>
      </w:rPr>
      <w:t>1</w:t>
    </w:r>
    <w:r>
      <w:fldChar w:fldCharType="end"/>
    </w:r>
    <w:r>
      <w:rPr>
        <w:rFonts w:ascii="Microsoft YaHei" w:hAnsi="Microsoft YaHei" w:eastAsia="Microsoft YaHei"/>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333399"/>
      </w:pBdr>
    </w:pPr>
    <w:r>
      <w:rPr>
        <w:rFonts w:ascii="Microsoft YaHei" w:hAnsi="Microsoft YaHei" w:eastAsia="Microsoft YaHei"/>
        <w:color w:val="666666"/>
        <w:sz w:val="18"/>
      </w:rPr>
      <w:t>智慧园区一体化调度解决方案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33339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33339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333399"/>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Microsoft YaHei" w:hAnsi="Microsoft YaHei" w:eastAsia="Microsoft YaHei"/>
      <w:b/>
      <w:bCs/>
      <w:i/>
      <w:iCs/>
      <w:color w:val="33339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eastAsia="Microsoft YaHei"/>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eastAsia="Microsoft YaHei"/>
      <w:b/>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