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 ответственностью «СЕТИ И СИСТЕМЫ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«Многоэтажные жилые дома в квартале улиц Карла Либкнехта Орджоникидзе - Трактовая - пер. Стрелочников в г. Сысерть Свердловской области. I этап строительства. Жилые дома № 1.1, 1.2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автыалжодовылдж: тип лестницы П-2, марш №1: ширина 1 м, марш №1: длина 2 м, марш №1: количество ступеней 2, марш №1: ширина ступени 2 м, марш №1: длина ступени 2 м, марш №1: расстояние между ступенями 2 м, марш №1: высота ограждений 2 м, площадка №1: длина 2 м, площадка №1: ширина 2 м, площадка №1: высота ограждений 2 м, марш №2: ширина 3 м, марш №2: длина 3 м, марш №2: количество ступеней 3, марш №2: ширина ступени 3 м, марш №2: длина ступени 3 м, марш №2: расстояние между ступенями 3 м, марш №2: высота ограждений 3 м, площадка №2: длина 3 м, площадка №2: ширина 3 м, площадка №2: высота ограждений 3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орлоропо: тип лестницы П-2, марш №1: ширина 3 м, марш №1: длина 3 м, марш №1: количество ступеней 3, марш №1: ширина ступени 3 м, марш №1: длина ступени 3 м, марш №1: расстояние между ступенями 3 м, марш №1: высота ограждений 3 м, площадка №1: длина 3 м, площадка №1: ширина 3 м, площадка №1: высота ограждений 3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0.3°C и скорости ветра 7.6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 xml:space="preserve">внешние повреждения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следы нарушения крепления к стене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нарушение сварных швов </w:t>
      </w:r>
      <w:r>
        <w:rPr>
          <w:rFonts w:ascii="Times New Roman" w:hAnsi="Times New Roman"/>
          <w:color w:val="000000"/>
          <w:sz w:val="20"/>
        </w:rPr>
        <w:t>не обнаружено</w:t>
      </w:r>
      <w:r>
        <w:rPr>
          <w:rFonts w:ascii="Times New Roman" w:hAnsi="Times New Roman"/>
          <w:color w:val="000000"/>
          <w:sz w:val="20"/>
        </w:rPr>
        <w:t xml:space="preserve">, защитное покрытие требованиями ГОСТ 9.302 </w:t>
      </w:r>
      <w:r>
        <w:rPr>
          <w:rFonts w:ascii="Times New Roman" w:hAnsi="Times New Roman"/>
          <w:color w:val="000000"/>
          <w:sz w:val="20"/>
        </w:rPr>
        <w:t>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