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0"/>
        </w:rPr>
        <w:t>от 16.11.2025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Заказчик: </w:t>
      </w:r>
      <w:r>
        <w:rPr>
          <w:rFonts w:ascii="Times New Roman" w:hAnsi="Times New Roman"/>
          <w:sz w:val="2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Адрес/наименование объекта: </w:t>
      </w:r>
      <w:r>
        <w:rPr>
          <w:rFonts w:ascii="Times New Roman" w:hAnsi="Times New Roman"/>
          <w:sz w:val="2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Лестница маршевая №1.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0.3 м, количество ступеней: 3 шт., высота ограждений площадки: 1 м, длина площадки: 1 м, ширина площадки: 2 м, высота ограждения площадки: 2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5.2 °C, скорость ветра 14.4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b/>
          <w:color w:val="000000"/>
          <w:sz w:val="20"/>
        </w:rPr>
        <w:t>, защитное покрытие требованиям ГОСТ 9.302 не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0.40 кН (40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0.65 кН (65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не пригодны к эксплуатации. Требуется восстановить защитное покрытие.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