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17.11.2025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2. Маршевая лестница, тип П2.</w:t>
      </w:r>
    </w:p>
    <w:p>
      <w:pPr>
        <w:spacing w:before="0" w:after="0" w:line="240" w:lineRule="auto"/>
        <w:ind w:left="0" w:right="0"/>
        <w:jc w:val="both"/>
      </w:pPr>
      <w:r>
        <w:t>Ширина марша: 2 м, длина марша: 2 м, ширина ступени: 0.4 м, расстояние между ступенями: 0.4 м, количество ступеней: 2 шт., высота ограждений площадки: 2 м, длина площадки: 2 м, ширина площадки: 2 м, высота ограждения площадки: 2 м.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нагрузочных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№ п/п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Элемент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Кол-во точек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Нагрузка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Ступени маршевых лестниц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3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1.5 кН (150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Ограждения маршей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0.50 кН (50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3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Площадки между маршами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2.0 кН (200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Анкерные соединения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0.65 кН (65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Маршевые пожарные лестницы выдержали контрольные нагрузки в течение 2 минут на каждом элементе. Признаков остаточных деформаций, трещин или разрушения не обнаружено. Конструкции соответствуют требованиям ГОСТ Р 53254-2009 и пригодны к эксплуатации.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