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0267-2026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 y 2026-0011048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y 2026-0011048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before="0" w:after="12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Aceptable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0,4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0,5 - 5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6,5 a 8,5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>Conclusión:</w:t>
      </w:r>
    </w:p>
    <w:p>
      <w:pPr>
        <w:spacing w:before="0" w:after="80"/>
        <w:jc w:val="both"/>
      </w:pPr>
      <w:r>
        <w:rPr>
          <w:rFonts w:ascii="Arial" w:hAnsi="Arial"/>
          <w:sz w:val="20"/>
        </w:rPr>
        <w:t>El resultado del análisis perteneciente al Informe de Ensayo N° 2026-0011047 y 2026-0011048,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before="0" w:after="4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30 de mayo del 2026</w:t>
      </w:r>
    </w:p>
    <w:p>
      <w:pPr>
        <w:spacing w:before="0" w:after="80"/>
      </w:pP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JOSE ANDRES HUIMAN DIAZ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MBI. JOEL CARLOS ELIAS PAREDES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Analista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Supervisor de Lab. Microbiología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CIP 193383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CBP 13240</w:t>
            </w:r>
          </w:p>
        </w:tc>
      </w:tr>
    </w:tbl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