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F8CE" w14:textId="1DC98137" w:rsidR="00265C01" w:rsidRPr="00C46113" w:rsidRDefault="009B09F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eastAsia="SimSun"/>
          <w:lang w:eastAsia="zh-CN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</w:t>
      </w:r>
      <w:r w:rsidR="00A51D01"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1</w:t>
      </w:r>
      <w:r>
        <w:rPr>
          <w:rFonts w:ascii="Arial" w:eastAsia="Arial" w:hAnsi="Arial" w:cs="Arial"/>
          <w:b/>
          <w:color w:val="000000"/>
          <w:sz w:val="20"/>
          <w:szCs w:val="20"/>
        </w:rPr>
        <w:t>. Phenotype definitions, source-specific processing, association scales, and covariate adjustment of the GWAS datasets</w:t>
      </w:r>
      <w:r w:rsidR="00C46113"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.</w:t>
      </w:r>
    </w:p>
    <w:tbl>
      <w:tblPr>
        <w:tblW w:w="15390" w:type="dxa"/>
        <w:jc w:val="center"/>
        <w:tblLayout w:type="fixed"/>
        <w:tblLook w:val="0420" w:firstRow="1" w:lastRow="0" w:firstColumn="0" w:lastColumn="0" w:noHBand="0" w:noVBand="1"/>
      </w:tblPr>
      <w:tblGrid>
        <w:gridCol w:w="1350"/>
        <w:gridCol w:w="1350"/>
        <w:gridCol w:w="2340"/>
        <w:gridCol w:w="3672"/>
        <w:gridCol w:w="2088"/>
        <w:gridCol w:w="2250"/>
        <w:gridCol w:w="2340"/>
      </w:tblGrid>
      <w:tr w:rsidR="00265C01" w14:paraId="5829F8D6" w14:textId="77777777" w:rsidTr="00A951DA">
        <w:trPr>
          <w:tblHeader/>
          <w:jc w:val="center"/>
        </w:trPr>
        <w:tc>
          <w:tcPr>
            <w:tcW w:w="135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CF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Data source</w:t>
            </w:r>
          </w:p>
        </w:tc>
        <w:tc>
          <w:tcPr>
            <w:tcW w:w="135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0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GWAS ID / trait</w:t>
            </w:r>
          </w:p>
        </w:tc>
        <w:tc>
          <w:tcPr>
            <w:tcW w:w="234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1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Phenotype definition</w:t>
            </w:r>
          </w:p>
        </w:tc>
        <w:tc>
          <w:tcPr>
            <w:tcW w:w="367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2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Phenotype processing</w:t>
            </w:r>
          </w:p>
        </w:tc>
        <w:tc>
          <w:tcPr>
            <w:tcW w:w="2088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3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Association model / scale</w:t>
            </w:r>
          </w:p>
        </w:tc>
        <w:tc>
          <w:tcPr>
            <w:tcW w:w="225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4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Covariate adjustment</w:t>
            </w:r>
          </w:p>
        </w:tc>
        <w:tc>
          <w:tcPr>
            <w:tcW w:w="234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5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MR interpretation</w:t>
            </w:r>
          </w:p>
        </w:tc>
      </w:tr>
      <w:tr w:rsidR="00265C01" w14:paraId="5829F8DE" w14:textId="77777777" w:rsidTr="00A951DA">
        <w:trPr>
          <w:jc w:val="center"/>
        </w:trPr>
        <w:tc>
          <w:tcPr>
            <w:tcW w:w="135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7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</w:p>
        </w:tc>
        <w:tc>
          <w:tcPr>
            <w:tcW w:w="135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8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C46113"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Veillonella 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(GCST90017088); Veillonellaceae (GCST90016956)</w:t>
            </w:r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9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Fecal 16S rRNA–based taxonomic abundance; genus </w:t>
            </w:r>
            <w:r w:rsidRPr="00C46113"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Veillonella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family Veillonellaceae</w:t>
            </w:r>
          </w:p>
        </w:tc>
        <w:tc>
          <w:tcPr>
            <w:tcW w:w="367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A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Cohort-level abundance filtering and log transformation; zero-abundance observations excluded; cohort-specific adjusted abundance phenotypes meta-analyzed</w:t>
            </w:r>
          </w:p>
        </w:tc>
        <w:tc>
          <w:tcPr>
            <w:tcW w:w="20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B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mbQTL abundance analysis; source-specific transformed abundance scale</w:t>
            </w:r>
          </w:p>
        </w:tc>
        <w:tc>
          <w:tcPr>
            <w:tcW w:w="225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C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Age, sex, genetic principal components (3 for monoethnic cohorts or 10 for multiethnic/admixed cohorts), plus available technical microbiome covariates such as stool storage/delivery time and sequencing batch</w:t>
            </w:r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D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Core microbiome exposure source. Treat beta as a source-specific transformed microbial-abundance effect, not as an absolute abundance unit</w:t>
            </w:r>
          </w:p>
        </w:tc>
      </w:tr>
      <w:tr w:rsidR="00265C01" w14:paraId="5829F8E6" w14:textId="77777777" w:rsidTr="00A951DA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DF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Sakaue et al., 2021 — European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0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Gastric cancer (GCST90018849)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1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Binary gastric cancer endpoint in European ancestry; intra-European meta-analysis of harmonized UK Biobank and FinnGen disease GWASs</w:t>
            </w:r>
          </w:p>
        </w:tc>
        <w:tc>
          <w:tcPr>
            <w:tcW w:w="36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2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Harmonized UK Biobank and FinnGen disease phenotypes; cohort summary statistics combined by inverse-variance meta-analysis</w:t>
            </w:r>
          </w:p>
        </w:tc>
        <w:tc>
          <w:tcPr>
            <w:tcW w:w="2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3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Binary disease GWAS; logistic mixed-model framework; log-odds scale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4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UK Biobank SAIGE disease GWAS used age, age², sex, age×sex, age²×sex and top 20 genetic PCs; FinnGen used its release-specific disease-GWAS adjustment before meta-analysis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5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Primary gastric cancer outcome; 1,029 cases / 475,087 controls</w:t>
            </w:r>
          </w:p>
        </w:tc>
      </w:tr>
      <w:tr w:rsidR="00265C01" w14:paraId="5829F8EE" w14:textId="77777777" w:rsidTr="00A951DA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7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FinnGen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8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Gastric cancer (finn-b-C3_STOMACH)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9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C3_STOMACH: malignant neoplasm of stomach; registry/ICD-based binary endpoint; controls are non-cases</w:t>
            </w:r>
          </w:p>
        </w:tc>
        <w:tc>
          <w:tcPr>
            <w:tcW w:w="36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A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Registry-derived stomach cancer case definition (including ICD-10 C16 and corresponding historical/cancer-registry codes); FinnGen QC/imputation pipeline</w:t>
            </w:r>
          </w:p>
        </w:tc>
        <w:tc>
          <w:tcPr>
            <w:tcW w:w="2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B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SAIGE binary disease GWAS; log-odds scale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C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Age, sex, genotyping batch and first 10 genetic principal components in the standard FinnGen GWAS framework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D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Alternative European outcome sensitivity analysis; not an independent replication because FinnGen contributes to GCST90018849</w:t>
            </w:r>
          </w:p>
        </w:tc>
      </w:tr>
      <w:tr w:rsidR="00265C01" w14:paraId="5829F8F6" w14:textId="77777777" w:rsidTr="00A951DA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EF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Sakaue et al., 2021 — East Asian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0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Gastric cancer (GCST90018629)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1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Binary gastric cancer endpoint in East Asian ancestry, corresponding to the harmonized BioBank Japan gastric cancer phenotype</w:t>
            </w:r>
          </w:p>
        </w:tc>
        <w:tc>
          <w:tcPr>
            <w:tcW w:w="36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2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BioBank Japan disease-GWAS framework; harmonized for cross-population comparison</w:t>
            </w:r>
          </w:p>
        </w:tc>
        <w:tc>
          <w:tcPr>
            <w:tcW w:w="2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3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SAIGE binary disease GWAS; log-odds scale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4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Age, age², sex, age×sex, age²×sex and top 20 genetic principal components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5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Cross-ancestry outcome sensitivity analysis; 7,921 cases / 159,201 controls</w:t>
            </w:r>
          </w:p>
        </w:tc>
      </w:tr>
      <w:tr w:rsidR="00265C01" w14:paraId="5829F8FE" w14:textId="77777777" w:rsidTr="00A951DA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7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microbiome GWAS, 2026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8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924CB8"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Veillonella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(GCST90671339); Veillonellaceae (GCST90671681)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9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Higher-taxon relative abundance derived by summing species-level shotgun-metagenomic relative abundances</w:t>
            </w:r>
          </w:p>
        </w:tc>
        <w:tc>
          <w:tcPr>
            <w:tcW w:w="36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A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Higher taxa with &gt;50% prevalence: rank-based inverse-normal transformed continuous abundance; 5–50% prevalence: presence/absence</w:t>
            </w:r>
          </w:p>
        </w:tc>
        <w:tc>
          <w:tcPr>
            <w:tcW w:w="2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B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REGENIE; linear regression for transformed abundance and logistic regression for presence/absence; fixed-effect meta-analysis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C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Sex, age, age², metagenomic plate and genetic PCs 1–10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D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Primary </w:t>
            </w:r>
            <w:proofErr w:type="gram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Post-reg</w:t>
            </w:r>
            <w:proofErr w:type="gram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exposure-source robustness source. Exposure scale differs from MiBioGen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DMP, so cross-GWAS MR estimates are compared side-by-side rather than formally pooled</w:t>
            </w:r>
          </w:p>
        </w:tc>
      </w:tr>
      <w:tr w:rsidR="00265C01" w14:paraId="5829F906" w14:textId="77777777" w:rsidTr="00A951DA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8FF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Dutch Microbiome Project, 2022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0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924CB8"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Veillonella 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(GCST90027724); Veillonellaceae (GCST90027679)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1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Shotgun-metagenomic taxonomic relative abundance in 7,738 European participants</w:t>
            </w:r>
          </w:p>
        </w:tc>
        <w:tc>
          <w:tcPr>
            <w:tcW w:w="367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2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Relative abundance natural-log transformed; zero values treated as missing; SAIGE inverse-rank normalization before association testing</w:t>
            </w:r>
          </w:p>
        </w:tc>
        <w:tc>
          <w:tcPr>
            <w:tcW w:w="208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3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SAIGE v0.38 linear mixed model; inverse-rank-normalized abundance scale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4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Age, sex and the genetic relationship matrix among participants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F905" w14:textId="77777777" w:rsidR="00265C01" w:rsidRDefault="009B09F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Secondary </w:t>
            </w:r>
            <w:proofErr w:type="gram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Post-reg</w:t>
            </w:r>
            <w:proofErr w:type="gram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exposure-source robustness source. Not completely independent from MiBioGen because limited Lifelines-related overlap was documented</w:t>
            </w:r>
          </w:p>
        </w:tc>
      </w:tr>
    </w:tbl>
    <w:p w14:paraId="5829F907" w14:textId="77777777" w:rsidR="00265C01" w:rsidRDefault="009B09F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>Abbreviations: GC, gastric cancer; GWAS, genome-wide association study; MR, Mendelian randomization; PC, principal component; RIN, rank-based inverse-normal transformation.</w:t>
      </w:r>
    </w:p>
    <w:p w14:paraId="5829F908" w14:textId="77777777" w:rsidR="00265C01" w:rsidRDefault="009B09F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 xml:space="preserve">Microbiome GWAS effect estimates reflect source-specific transformed abundance phenotypes. Effect units across </w:t>
      </w:r>
      <w:r>
        <w:rPr>
          <w:rFonts w:ascii="Arial" w:eastAsia="Arial" w:hAnsi="Arial" w:cs="Arial"/>
          <w:color w:val="000000"/>
          <w:sz w:val="16"/>
          <w:szCs w:val="16"/>
        </w:rPr>
        <w:t>MiBioGen, Swedish 2026, and DMP should therefore not be assumed to be directly commensurate.</w:t>
      </w:r>
    </w:p>
    <w:p w14:paraId="5829F90A" w14:textId="77777777" w:rsidR="00BF2033" w:rsidRDefault="00BF2033"/>
    <w:sectPr w:rsidR="00BF2033" w:rsidSect="00A951DA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270F" w14:textId="77777777" w:rsidR="009B09FC" w:rsidRDefault="009B09FC" w:rsidP="00A951DA">
      <w:r>
        <w:separator/>
      </w:r>
    </w:p>
  </w:endnote>
  <w:endnote w:type="continuationSeparator" w:id="0">
    <w:p w14:paraId="396BBA9E" w14:textId="77777777" w:rsidR="009B09FC" w:rsidRDefault="009B09FC" w:rsidP="00A9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D153" w14:textId="77777777" w:rsidR="009B09FC" w:rsidRDefault="009B09FC" w:rsidP="00A951DA">
      <w:r>
        <w:separator/>
      </w:r>
    </w:p>
  </w:footnote>
  <w:footnote w:type="continuationSeparator" w:id="0">
    <w:p w14:paraId="1A1E24BC" w14:textId="77777777" w:rsidR="009B09FC" w:rsidRDefault="009B09FC" w:rsidP="00A95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5773940">
    <w:abstractNumId w:val="1"/>
  </w:num>
  <w:num w:numId="2" w16cid:durableId="21907202">
    <w:abstractNumId w:val="2"/>
  </w:num>
  <w:num w:numId="3" w16cid:durableId="123184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65C01"/>
    <w:rsid w:val="0035500D"/>
    <w:rsid w:val="00362E65"/>
    <w:rsid w:val="004158F9"/>
    <w:rsid w:val="00457CF1"/>
    <w:rsid w:val="00747CCE"/>
    <w:rsid w:val="007B3E96"/>
    <w:rsid w:val="008F1F48"/>
    <w:rsid w:val="00901463"/>
    <w:rsid w:val="00924CB8"/>
    <w:rsid w:val="00946CB3"/>
    <w:rsid w:val="009A01E4"/>
    <w:rsid w:val="009B09FC"/>
    <w:rsid w:val="00A51D01"/>
    <w:rsid w:val="00A951DA"/>
    <w:rsid w:val="00AE18EF"/>
    <w:rsid w:val="00AE1BDD"/>
    <w:rsid w:val="00B3547C"/>
    <w:rsid w:val="00B4379D"/>
    <w:rsid w:val="00B55B2C"/>
    <w:rsid w:val="00BF2033"/>
    <w:rsid w:val="00C27329"/>
    <w:rsid w:val="00C31EEB"/>
    <w:rsid w:val="00C46113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29F8C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A951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1DA"/>
  </w:style>
  <w:style w:type="paragraph" w:styleId="Footer">
    <w:name w:val="footer"/>
    <w:basedOn w:val="Normal"/>
    <w:link w:val="FooterChar"/>
    <w:uiPriority w:val="99"/>
    <w:unhideWhenUsed/>
    <w:rsid w:val="00A951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13</cp:revision>
  <dcterms:created xsi:type="dcterms:W3CDTF">2017-02-28T11:18:00Z</dcterms:created>
  <dcterms:modified xsi:type="dcterms:W3CDTF">2026-09-17T00:40:00Z</dcterms:modified>
  <cp:category/>
</cp:coreProperties>
</file>