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3852" w14:textId="7B49FBDE" w:rsidR="00F202D2" w:rsidRPr="00412F46" w:rsidRDefault="00A50F30" w:rsidP="00412F46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Supplementary Table S</w:t>
      </w:r>
      <w:r w:rsidR="008C03D6">
        <w:rPr>
          <w:rFonts w:ascii="Arial" w:eastAsia="SimSun" w:hAnsi="Arial" w:cs="Arial" w:hint="eastAsia"/>
          <w:b/>
          <w:color w:val="000000"/>
          <w:sz w:val="20"/>
          <w:szCs w:val="20"/>
          <w:lang w:eastAsia="zh-CN"/>
        </w:rPr>
        <w:t>3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. Eligibility assessment of candidate microbiome GWAS sources for the post-registration exposure-source </w:t>
      </w:r>
      <w:r w:rsidR="003E6BA7">
        <w:rPr>
          <w:rFonts w:ascii="Arial" w:eastAsia="SimSun" w:hAnsi="Arial" w:cs="Arial" w:hint="eastAsia"/>
          <w:b/>
          <w:color w:val="000000"/>
          <w:sz w:val="20"/>
          <w:szCs w:val="20"/>
          <w:lang w:eastAsia="zh-CN"/>
        </w:rPr>
        <w:t>sensitivity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412F46">
        <w:rPr>
          <w:rFonts w:ascii="Arial" w:eastAsia="Arial" w:hAnsi="Arial" w:cs="Arial"/>
          <w:b/>
          <w:color w:val="000000"/>
          <w:sz w:val="20"/>
          <w:szCs w:val="20"/>
        </w:rPr>
        <w:t>analyses</w:t>
      </w:r>
      <w:r w:rsidR="002B65DB" w:rsidRPr="00412F46">
        <w:rPr>
          <w:rFonts w:ascii="Arial" w:eastAsia="Arial" w:hAnsi="Arial" w:cs="Arial" w:hint="eastAsia"/>
          <w:b/>
          <w:color w:val="000000"/>
          <w:sz w:val="20"/>
          <w:szCs w:val="20"/>
        </w:rPr>
        <w:t>.</w:t>
      </w:r>
    </w:p>
    <w:tbl>
      <w:tblPr>
        <w:tblW w:w="14310" w:type="dxa"/>
        <w:jc w:val="center"/>
        <w:tblLayout w:type="fixed"/>
        <w:tblLook w:val="0420" w:firstRow="1" w:lastRow="0" w:firstColumn="0" w:lastColumn="0" w:noHBand="0" w:noVBand="1"/>
      </w:tblPr>
      <w:tblGrid>
        <w:gridCol w:w="1710"/>
        <w:gridCol w:w="2520"/>
        <w:gridCol w:w="1620"/>
        <w:gridCol w:w="1620"/>
        <w:gridCol w:w="1494"/>
        <w:gridCol w:w="1296"/>
        <w:gridCol w:w="2340"/>
        <w:gridCol w:w="1710"/>
      </w:tblGrid>
      <w:tr w:rsidR="00F202D2" w:rsidRPr="00412F46" w14:paraId="0A7F385B" w14:textId="77777777" w:rsidTr="00FD5895">
        <w:trPr>
          <w:tblHeader/>
          <w:jc w:val="center"/>
        </w:trPr>
        <w:tc>
          <w:tcPr>
            <w:tcW w:w="171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3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Data source</w:t>
            </w:r>
          </w:p>
        </w:tc>
        <w:tc>
          <w:tcPr>
            <w:tcW w:w="252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4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162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5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Sample size</w:t>
            </w:r>
          </w:p>
        </w:tc>
        <w:tc>
          <w:tcPr>
            <w:tcW w:w="162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6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Microbiome method</w:t>
            </w:r>
          </w:p>
        </w:tc>
        <w:tc>
          <w:tcPr>
            <w:tcW w:w="1494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7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Exact taxonomic match</w:t>
            </w:r>
          </w:p>
        </w:tc>
        <w:tc>
          <w:tcPr>
            <w:tcW w:w="1296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8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Full summary statistics</w:t>
            </w:r>
          </w:p>
        </w:tc>
        <w:tc>
          <w:tcPr>
            <w:tcW w:w="234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9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Overlap concern</w:t>
            </w:r>
          </w:p>
        </w:tc>
        <w:tc>
          <w:tcPr>
            <w:tcW w:w="171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A" w14:textId="77777777" w:rsidR="00F202D2" w:rsidRDefault="00A50F3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Decision / rationale</w:t>
            </w:r>
          </w:p>
        </w:tc>
      </w:tr>
      <w:tr w:rsidR="00F202D2" w:rsidRPr="00412F46" w14:paraId="0A7F3864" w14:textId="77777777" w:rsidTr="00FD5895">
        <w:trPr>
          <w:jc w:val="center"/>
        </w:trPr>
        <w:tc>
          <w:tcPr>
            <w:tcW w:w="171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C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Swedish microbiome GWAS, 2026</w:t>
            </w:r>
          </w:p>
        </w:tc>
        <w:tc>
          <w:tcPr>
            <w:tcW w:w="25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D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European ancestry; four Swedish population-based cohorts</w:t>
            </w:r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E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16,017</w:t>
            </w:r>
          </w:p>
        </w:tc>
        <w:tc>
          <w:tcPr>
            <w:tcW w:w="162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5F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Deep shotgun metagenomic sequencing</w:t>
            </w:r>
          </w:p>
        </w:tc>
        <w:tc>
          <w:tcPr>
            <w:tcW w:w="149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0" w14:textId="58379616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Yes </w:t>
            </w:r>
          </w:p>
        </w:tc>
        <w:tc>
          <w:tcPr>
            <w:tcW w:w="129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1" w14:textId="33CD06B2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23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2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No obvious cohort-level overlap identified with MiBioGen or the primary GC outcome</w:t>
            </w:r>
          </w:p>
        </w:tc>
        <w:tc>
          <w:tcPr>
            <w:tcW w:w="171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3" w14:textId="2D63D183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Include — primary </w:t>
            </w:r>
            <w:proofErr w:type="gramStart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Post-reg</w:t>
            </w:r>
            <w:proofErr w:type="gramEnd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 exposure-source </w:t>
            </w:r>
            <w:r w:rsidR="003E6BA7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sensitivity</w:t>
            </w:r>
          </w:p>
        </w:tc>
      </w:tr>
      <w:tr w:rsidR="00F202D2" w:rsidRPr="00412F46" w14:paraId="0A7F386D" w14:textId="77777777" w:rsidTr="00FD5895">
        <w:trPr>
          <w:jc w:val="center"/>
        </w:trPr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5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Dutch Microbiome Project, 2022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6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European ancestry; Dutch Microbiome Project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7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7,738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8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Shotgun metagenomic sequencing</w:t>
            </w:r>
          </w:p>
        </w:tc>
        <w:tc>
          <w:tcPr>
            <w:tcW w:w="1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9" w14:textId="6785BCA1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Yes 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A" w14:textId="3C19BB40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B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Limited Lifelines-related overlap with MiBioGen documented; not fully independent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C" w14:textId="0C1D1288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Include — secondary </w:t>
            </w:r>
            <w:proofErr w:type="gramStart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Post-reg</w:t>
            </w:r>
            <w:proofErr w:type="gramEnd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 exposure-source </w:t>
            </w:r>
            <w:r w:rsidR="003E6BA7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sensitivity</w:t>
            </w:r>
          </w:p>
        </w:tc>
      </w:tr>
      <w:tr w:rsidR="00F202D2" w:rsidRPr="00412F46" w14:paraId="0A7F3876" w14:textId="77777777" w:rsidTr="00FD5895">
        <w:trPr>
          <w:jc w:val="center"/>
        </w:trPr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E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Qin / FINRISK 2022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6F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Finnish population-based FINRISK 2002 cohort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0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5,959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1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Shallow shotgun metagenomic sequencing</w:t>
            </w:r>
          </w:p>
        </w:tc>
        <w:tc>
          <w:tcPr>
            <w:tcW w:w="1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2" w14:textId="10A2693F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Yes 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3" w14:textId="423156F3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4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Potential exposure–outcome overlap: FINRISK contributes legacy samples to FinnGen, while GCST90018849 incorporates FinnGen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5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Exclude — potential exposure–outcome sample overlap</w:t>
            </w:r>
          </w:p>
        </w:tc>
      </w:tr>
      <w:tr w:rsidR="00F202D2" w:rsidRPr="00412F46" w14:paraId="0A7F387F" w14:textId="77777777" w:rsidTr="00FD5895">
        <w:trPr>
          <w:jc w:val="center"/>
        </w:trPr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7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HUNT 2026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8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European ancestry; HUNT4, </w:t>
            </w:r>
            <w:proofErr w:type="spellStart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Trøndelag</w:t>
            </w:r>
            <w:proofErr w:type="spellEnd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, Norway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9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12,652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A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Shotgun metagenomic sequencing</w:t>
            </w:r>
          </w:p>
        </w:tc>
        <w:tc>
          <w:tcPr>
            <w:tcW w:w="1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B" w14:textId="41AC59EC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No 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C" w14:textId="79E173CD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D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Not the basis for exclusion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7E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Exclude — no exact genus/family taxonomic match</w:t>
            </w:r>
          </w:p>
        </w:tc>
      </w:tr>
      <w:tr w:rsidR="00F202D2" w:rsidRPr="00412F46" w14:paraId="0A7F3888" w14:textId="77777777" w:rsidTr="00FD5895">
        <w:trPr>
          <w:jc w:val="center"/>
        </w:trPr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0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German microbiome GWAS, 2021</w:t>
            </w:r>
          </w:p>
        </w:tc>
        <w:tc>
          <w:tcPr>
            <w:tcW w:w="252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1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8,956 German individuals from five German cohorts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2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8,956</w:t>
            </w:r>
          </w:p>
        </w:tc>
        <w:tc>
          <w:tcPr>
            <w:tcW w:w="162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3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16S rRNA gene sequencing</w:t>
            </w:r>
          </w:p>
        </w:tc>
        <w:tc>
          <w:tcPr>
            <w:tcW w:w="149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4" w14:textId="23FBF3D0" w:rsidR="00F202D2" w:rsidRPr="008E032C" w:rsidRDefault="00D07457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 w:hint="eastAsia"/>
                <w:bCs/>
                <w:color w:val="000000"/>
                <w:sz w:val="16"/>
                <w:szCs w:val="16"/>
              </w:rPr>
              <w:t>No</w:t>
            </w:r>
            <w:r w:rsidR="00152E45">
              <w:rPr>
                <w:rFonts w:ascii="Arial" w:eastAsia="SimSun" w:hAnsi="Arial" w:cs="Arial" w:hint="eastAsia"/>
                <w:bCs/>
                <w:color w:val="000000"/>
                <w:sz w:val="16"/>
                <w:szCs w:val="16"/>
                <w:lang w:eastAsia="zh-CN"/>
              </w:rPr>
              <w:t>t assessed</w:t>
            </w:r>
            <w:r w:rsidR="00547A5F" w:rsidRPr="008E032C">
              <w:rPr>
                <w:rFonts w:ascii="Arial" w:eastAsia="Arial" w:hAnsi="Arial" w:cs="Arial" w:hint="eastAsia"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5" w14:textId="59248345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Yes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6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Substantial overlap with MiBioGen, including </w:t>
            </w:r>
            <w:proofErr w:type="spellStart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FoCus</w:t>
            </w:r>
            <w:proofErr w:type="spellEnd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 and SHIP</w:t>
            </w:r>
          </w:p>
        </w:tc>
        <w:tc>
          <w:tcPr>
            <w:tcW w:w="171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3887" w14:textId="77777777" w:rsidR="00F202D2" w:rsidRPr="008E032C" w:rsidRDefault="00A50F30" w:rsidP="00412F4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60" w:right="60"/>
              <w:jc w:val="center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Exclude — substantial cohort </w:t>
            </w:r>
            <w:proofErr w:type="gramStart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>overlap</w:t>
            </w:r>
            <w:proofErr w:type="gramEnd"/>
            <w:r w:rsidRPr="008E032C"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t xml:space="preserve"> with MiBioGen</w:t>
            </w:r>
          </w:p>
        </w:tc>
      </w:tr>
    </w:tbl>
    <w:p w14:paraId="0A7F388A" w14:textId="0EFCB099" w:rsidR="00F202D2" w:rsidRPr="002B65DB" w:rsidRDefault="00A50F3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eastAsia="SimSun"/>
          <w:lang w:eastAsia="zh-CN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Abbreviations: GC, gastric cancer; GWAS, genome-wide association study;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Post-reg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, post-registration.</w:t>
      </w:r>
      <w:r w:rsidR="003E6BA7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Eligibility and exclusion decisions were finalized before inspection of the corresponding external exposure-to-gastric-cancer MR results.</w:t>
      </w:r>
      <w:r w:rsidR="00547A5F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*</w:t>
      </w:r>
      <w:r w:rsidR="002B65DB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: </w:t>
      </w:r>
      <w:r w:rsidR="002B65DB">
        <w:rPr>
          <w:rFonts w:ascii="Arial" w:eastAsia="Arial" w:hAnsi="Arial" w:cs="Arial"/>
          <w:color w:val="000000"/>
          <w:sz w:val="16"/>
          <w:szCs w:val="16"/>
        </w:rPr>
        <w:t xml:space="preserve">Not required for exclusion decision; exact </w:t>
      </w:r>
      <w:r w:rsidR="002B65DB" w:rsidRPr="0060218E">
        <w:rPr>
          <w:rFonts w:ascii="Arial" w:eastAsia="Arial" w:hAnsi="Arial" w:cs="Arial"/>
          <w:i/>
          <w:iCs/>
          <w:color w:val="000000"/>
          <w:sz w:val="16"/>
          <w:szCs w:val="16"/>
        </w:rPr>
        <w:t>Veillonella</w:t>
      </w:r>
      <w:r w:rsidR="002B65DB">
        <w:rPr>
          <w:rFonts w:ascii="Arial" w:eastAsia="Arial" w:hAnsi="Arial" w:cs="Arial"/>
          <w:color w:val="000000"/>
          <w:sz w:val="16"/>
          <w:szCs w:val="16"/>
        </w:rPr>
        <w:t>/Veillonellaceae matching was not independently re-evaluated after overlap-based exclusion</w:t>
      </w:r>
      <w:r w:rsidR="002B65DB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>.</w:t>
      </w:r>
    </w:p>
    <w:p w14:paraId="0A7F388C" w14:textId="6529477A" w:rsidR="00A50F30" w:rsidRDefault="00547A5F">
      <w:r>
        <w:rPr>
          <w:rFonts w:eastAsia="SimSun" w:hint="eastAsia"/>
          <w:lang w:eastAsia="zh-CN"/>
        </w:rPr>
        <w:t xml:space="preserve"> </w:t>
      </w:r>
    </w:p>
    <w:sectPr w:rsidR="00A50F30" w:rsidSect="00412F4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75E58" w14:textId="77777777" w:rsidR="002B0BBE" w:rsidRDefault="002B0BBE" w:rsidP="00BF4830">
      <w:r>
        <w:separator/>
      </w:r>
    </w:p>
  </w:endnote>
  <w:endnote w:type="continuationSeparator" w:id="0">
    <w:p w14:paraId="7FB1CF2D" w14:textId="77777777" w:rsidR="002B0BBE" w:rsidRDefault="002B0BBE" w:rsidP="00BF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5913" w14:textId="77777777" w:rsidR="002B0BBE" w:rsidRDefault="002B0BBE" w:rsidP="00BF4830">
      <w:r>
        <w:separator/>
      </w:r>
    </w:p>
  </w:footnote>
  <w:footnote w:type="continuationSeparator" w:id="0">
    <w:p w14:paraId="3CF6B574" w14:textId="77777777" w:rsidR="002B0BBE" w:rsidRDefault="002B0BBE" w:rsidP="00BF4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30151471">
    <w:abstractNumId w:val="1"/>
  </w:num>
  <w:num w:numId="2" w16cid:durableId="1985310404">
    <w:abstractNumId w:val="2"/>
  </w:num>
  <w:num w:numId="3" w16cid:durableId="23450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5755D"/>
    <w:rsid w:val="00073835"/>
    <w:rsid w:val="001379FE"/>
    <w:rsid w:val="00152E45"/>
    <w:rsid w:val="001C0A13"/>
    <w:rsid w:val="001D75AB"/>
    <w:rsid w:val="002B0BBE"/>
    <w:rsid w:val="002B65DB"/>
    <w:rsid w:val="0035500D"/>
    <w:rsid w:val="00362E65"/>
    <w:rsid w:val="00376E43"/>
    <w:rsid w:val="003E6BA7"/>
    <w:rsid w:val="00412F46"/>
    <w:rsid w:val="004158F9"/>
    <w:rsid w:val="00457CF1"/>
    <w:rsid w:val="00547A5F"/>
    <w:rsid w:val="00580845"/>
    <w:rsid w:val="0060218E"/>
    <w:rsid w:val="00747CCE"/>
    <w:rsid w:val="007B3E96"/>
    <w:rsid w:val="008C03D6"/>
    <w:rsid w:val="008E032C"/>
    <w:rsid w:val="008F1F48"/>
    <w:rsid w:val="00901463"/>
    <w:rsid w:val="00946CB3"/>
    <w:rsid w:val="009A01E4"/>
    <w:rsid w:val="00A50F30"/>
    <w:rsid w:val="00AB2375"/>
    <w:rsid w:val="00AE18EF"/>
    <w:rsid w:val="00AE1BDD"/>
    <w:rsid w:val="00B3547C"/>
    <w:rsid w:val="00B4379D"/>
    <w:rsid w:val="00B55B2C"/>
    <w:rsid w:val="00BF4830"/>
    <w:rsid w:val="00C27329"/>
    <w:rsid w:val="00C31EEB"/>
    <w:rsid w:val="00D07457"/>
    <w:rsid w:val="00F12158"/>
    <w:rsid w:val="00F202D2"/>
    <w:rsid w:val="00FB63E7"/>
    <w:rsid w:val="00FC557F"/>
    <w:rsid w:val="00FD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7F3852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BF48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830"/>
  </w:style>
  <w:style w:type="paragraph" w:styleId="Footer">
    <w:name w:val="footer"/>
    <w:basedOn w:val="Normal"/>
    <w:link w:val="FooterChar"/>
    <w:uiPriority w:val="99"/>
    <w:unhideWhenUsed/>
    <w:rsid w:val="00BF48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4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25</cp:revision>
  <dcterms:created xsi:type="dcterms:W3CDTF">2017-02-28T11:18:00Z</dcterms:created>
  <dcterms:modified xsi:type="dcterms:W3CDTF">2026-09-17T01:38:00Z</dcterms:modified>
  <cp:category/>
</cp:coreProperties>
</file>