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3C8F" w14:textId="77777777" w:rsidR="00DD3092" w:rsidRDefault="005C3E4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0"/>
          <w:szCs w:val="20"/>
        </w:rPr>
        <w:t>Supplementary Table S5. Heterogeneity and horizontal pleiotropy diagnostics across the Mendelian randomization analyses</w:t>
      </w:r>
    </w:p>
    <w:tbl>
      <w:tblPr>
        <w:tblW w:w="15570" w:type="dxa"/>
        <w:jc w:val="center"/>
        <w:tblLayout w:type="fixed"/>
        <w:tblLook w:val="0420" w:firstRow="1" w:lastRow="0" w:firstColumn="0" w:lastColumn="0" w:noHBand="0" w:noVBand="1"/>
      </w:tblPr>
      <w:tblGrid>
        <w:gridCol w:w="4590"/>
        <w:gridCol w:w="1008"/>
        <w:gridCol w:w="720"/>
        <w:gridCol w:w="1332"/>
        <w:gridCol w:w="990"/>
        <w:gridCol w:w="2160"/>
        <w:gridCol w:w="1260"/>
        <w:gridCol w:w="1890"/>
        <w:gridCol w:w="1620"/>
      </w:tblGrid>
      <w:tr w:rsidR="00DD3092" w14:paraId="401A3C99" w14:textId="77777777" w:rsidTr="00CB1443">
        <w:trPr>
          <w:tblHeader/>
          <w:jc w:val="center"/>
        </w:trPr>
        <w:tc>
          <w:tcPr>
            <w:tcW w:w="459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Analysis</w:t>
            </w:r>
          </w:p>
        </w:tc>
        <w:tc>
          <w:tcPr>
            <w:tcW w:w="1008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Threshold</w:t>
            </w:r>
          </w:p>
        </w:tc>
        <w:tc>
          <w:tcPr>
            <w:tcW w:w="72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SNPs</w:t>
            </w:r>
          </w:p>
        </w:tc>
        <w:tc>
          <w:tcPr>
            <w:tcW w:w="1332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Cochran Q 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df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)</w:t>
            </w:r>
          </w:p>
        </w:tc>
        <w:tc>
          <w:tcPr>
            <w:tcW w:w="99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Q P value</w:t>
            </w:r>
          </w:p>
        </w:tc>
        <w:tc>
          <w:tcPr>
            <w:tcW w:w="216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MR-Egger intercept (SE)</w:t>
            </w:r>
          </w:p>
        </w:tc>
        <w:tc>
          <w:tcPr>
            <w:tcW w:w="126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Egger P value</w:t>
            </w:r>
          </w:p>
        </w:tc>
        <w:tc>
          <w:tcPr>
            <w:tcW w:w="189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MR-PRESSO global P</w:t>
            </w:r>
          </w:p>
        </w:tc>
        <w:tc>
          <w:tcPr>
            <w:tcW w:w="162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MR-PRESSO outliers</w:t>
            </w:r>
          </w:p>
        </w:tc>
      </w:tr>
      <w:tr w:rsidR="00DD3092" w14:paraId="401A3CA3" w14:textId="77777777" w:rsidTr="00CB1443">
        <w:trPr>
          <w:jc w:val="center"/>
        </w:trPr>
        <w:tc>
          <w:tcPr>
            <w:tcW w:w="459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(primary)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0.758 (3)</w:t>
            </w:r>
          </w:p>
        </w:tc>
        <w:tc>
          <w:tcPr>
            <w:tcW w:w="99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0.860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9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0.1231 (0.2048)</w:t>
            </w:r>
          </w:p>
        </w:tc>
        <w:tc>
          <w:tcPr>
            <w:tcW w:w="12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0.609</w:t>
            </w:r>
          </w:p>
        </w:tc>
        <w:tc>
          <w:tcPr>
            <w:tcW w:w="189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0.842</w:t>
            </w:r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AD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(primary)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2.350 (8)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0.968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-0.0116 (0.0325)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0.732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0.969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B7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(threshold sensitivity)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A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5.489 (7)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0.600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0.1468 (0.0794)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0.114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0.675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C1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(threshold sensitivity)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17.985 (18)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0.457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0.0149 (0.0114)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0.206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B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0.403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CB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FinnGen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GC (Alt-E)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0.346 (3)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0.951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-0.1418 (0.6853)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0.855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0.952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D5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FinnGen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GC (Alt-E)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C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2.401 (8)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0.966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0.0185 (0.0592)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0.764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0.964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DF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East Asian GC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0.088 (3)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0.993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0.0377 (0.2225)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0.881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0.995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D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E9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East Asian GC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2.591 (4)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0.628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0.0059 (0.0745)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0.942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0.643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F3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(reverse)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3.960 (3)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0.266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E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-0.0039 (0.0543)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0.949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0.334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CFD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(reverse)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4.932 (3)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0.177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-0.0051 (0.0463)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0.922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0.293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D07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(primary)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CF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0.937 (3)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0.816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-0.0091 (0.0390)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0.837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0.875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D11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(primary)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0.728 (2)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0.695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-0.0024 (0.0757)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0.979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0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Not feasible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—</w:t>
            </w:r>
          </w:p>
        </w:tc>
      </w:tr>
      <w:tr w:rsidR="00DD3092" w14:paraId="401A3D1B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(primary)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1.210 (3)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0.751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0.0400 (0.0716)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0.633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0.865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D25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(primary)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1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5.941 (5)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0.312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0.0666 (0.0603)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0.331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0.410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D2F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(threshold sensitivity)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5.766 (9)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0.763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0.0001 (0.0275)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0.998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0.803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2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D39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(threshold sensitivity)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3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15.032 (9)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0.090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-0.0073 (0.0411)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0.863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0.178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D43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(threshold sensitivity)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D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3.938 (5)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E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0.558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3F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0.0062 (0.0469)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0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0.900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1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0.698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2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  <w:tr w:rsidR="00DD3092" w14:paraId="401A3D4D" w14:textId="77777777" w:rsidTr="00CB1443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4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(threshold sensitivity)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5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6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12</w:t>
            </w:r>
          </w:p>
        </w:tc>
        <w:tc>
          <w:tcPr>
            <w:tcW w:w="133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7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7.948 (11)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8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0.718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9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0.0045 (0.0273)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A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0.871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B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0.784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A3D4C" w14:textId="77777777" w:rsidR="00DD3092" w:rsidRDefault="005C3E4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6" w:after="46"/>
              <w:ind w:left="40" w:right="4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</w:t>
            </w:r>
          </w:p>
        </w:tc>
      </w:tr>
    </w:tbl>
    <w:p w14:paraId="401A3D51" w14:textId="0A691E5F" w:rsidR="00DD3092" w:rsidRDefault="005C3E4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 xml:space="preserve">Abbreviations: Alt-E, alternative European; DMP, Dutch Microbiome Project; GC, gastric cancer; MR, Mendelian randomization; MR-PRESSO, Mendelian Randomization Pleiotropy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RESidual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Sum and Outlier.</w:t>
      </w:r>
      <w:r w:rsidR="00A40053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Cochran's Q P values assess statistical evidence of heterogeneity. MR-Egger intercept P values assess statistical evidence of directional horizontal pleiotropy. MR-PRESSO global P values assess evidence of horizontal pleiotropy and outlier distortion.</w:t>
      </w:r>
      <w:r w:rsidR="00A40053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A nonsignificant diagnostic P value was interpreted as no statistical evidence of the corresponding violation, rather than proof of its absence.</w:t>
      </w:r>
      <w:r w:rsidR="00A40053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MR-PRESSO was considered not feasible for the Swedish 2026 Veillonellaceae primary analysis because only three instruments remained after harmonization.</w:t>
      </w:r>
    </w:p>
    <w:p w14:paraId="401A3D53" w14:textId="77777777" w:rsidR="005C3E41" w:rsidRDefault="005C3E41"/>
    <w:sectPr w:rsidR="005C3E41" w:rsidSect="00CB1443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B639D" w14:textId="77777777" w:rsidR="00783EC5" w:rsidRDefault="00783EC5" w:rsidP="00CB1443">
      <w:r>
        <w:separator/>
      </w:r>
    </w:p>
  </w:endnote>
  <w:endnote w:type="continuationSeparator" w:id="0">
    <w:p w14:paraId="75FEAF3F" w14:textId="77777777" w:rsidR="00783EC5" w:rsidRDefault="00783EC5" w:rsidP="00CB1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6108" w14:textId="77777777" w:rsidR="00783EC5" w:rsidRDefault="00783EC5" w:rsidP="00CB1443">
      <w:r>
        <w:separator/>
      </w:r>
    </w:p>
  </w:footnote>
  <w:footnote w:type="continuationSeparator" w:id="0">
    <w:p w14:paraId="2771E37E" w14:textId="77777777" w:rsidR="00783EC5" w:rsidRDefault="00783EC5" w:rsidP="00CB1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21972042">
    <w:abstractNumId w:val="1"/>
  </w:num>
  <w:num w:numId="2" w16cid:durableId="1130284">
    <w:abstractNumId w:val="2"/>
  </w:num>
  <w:num w:numId="3" w16cid:durableId="67164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05D8B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C3E41"/>
    <w:rsid w:val="00604846"/>
    <w:rsid w:val="00747CCE"/>
    <w:rsid w:val="00783EC5"/>
    <w:rsid w:val="007B3E96"/>
    <w:rsid w:val="008F1F48"/>
    <w:rsid w:val="00901463"/>
    <w:rsid w:val="00946CB3"/>
    <w:rsid w:val="009A01E4"/>
    <w:rsid w:val="00A40053"/>
    <w:rsid w:val="00AE18EF"/>
    <w:rsid w:val="00AE1BDD"/>
    <w:rsid w:val="00B3547C"/>
    <w:rsid w:val="00B4379D"/>
    <w:rsid w:val="00C27329"/>
    <w:rsid w:val="00C31EEB"/>
    <w:rsid w:val="00CB1443"/>
    <w:rsid w:val="00DD3092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1A3C8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CB1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443"/>
  </w:style>
  <w:style w:type="paragraph" w:styleId="Footer">
    <w:name w:val="footer"/>
    <w:basedOn w:val="Normal"/>
    <w:link w:val="FooterChar"/>
    <w:uiPriority w:val="99"/>
    <w:unhideWhenUsed/>
    <w:rsid w:val="00CB1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12</cp:revision>
  <dcterms:created xsi:type="dcterms:W3CDTF">2017-02-28T11:18:00Z</dcterms:created>
  <dcterms:modified xsi:type="dcterms:W3CDTF">2026-09-15T23:35:00Z</dcterms:modified>
  <cp:category/>
</cp:coreProperties>
</file>