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9898" w14:textId="77777777" w:rsidR="00F04734" w:rsidRDefault="00DB16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b/>
          <w:color w:val="000000"/>
          <w:sz w:val="20"/>
          <w:szCs w:val="20"/>
        </w:rPr>
        <w:t>Supplementary Table S6. Summary of the post-registration microbiome exposure-source robustness analyses</w:t>
      </w:r>
    </w:p>
    <w:tbl>
      <w:tblPr>
        <w:tblW w:w="14580" w:type="dxa"/>
        <w:jc w:val="center"/>
        <w:tblLayout w:type="fixed"/>
        <w:tblLook w:val="0420" w:firstRow="1" w:lastRow="0" w:firstColumn="0" w:lastColumn="0" w:noHBand="0" w:noVBand="1"/>
      </w:tblPr>
      <w:tblGrid>
        <w:gridCol w:w="1800"/>
        <w:gridCol w:w="1656"/>
        <w:gridCol w:w="1224"/>
        <w:gridCol w:w="1656"/>
        <w:gridCol w:w="1872"/>
        <w:gridCol w:w="792"/>
        <w:gridCol w:w="2232"/>
        <w:gridCol w:w="1080"/>
        <w:gridCol w:w="2268"/>
      </w:tblGrid>
      <w:tr w:rsidR="00F04734" w14:paraId="500E98A2" w14:textId="77777777" w:rsidTr="00C830A9">
        <w:trPr>
          <w:tblHeader/>
          <w:jc w:val="center"/>
        </w:trPr>
        <w:tc>
          <w:tcPr>
            <w:tcW w:w="180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99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Exposure source</w:t>
            </w:r>
          </w:p>
        </w:tc>
        <w:tc>
          <w:tcPr>
            <w:tcW w:w="1656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9A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Trait</w:t>
            </w:r>
          </w:p>
        </w:tc>
        <w:tc>
          <w:tcPr>
            <w:tcW w:w="1224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9B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Source role</w:t>
            </w:r>
          </w:p>
        </w:tc>
        <w:tc>
          <w:tcPr>
            <w:tcW w:w="1656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9C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Threshold</w:t>
            </w:r>
          </w:p>
        </w:tc>
        <w:tc>
          <w:tcPr>
            <w:tcW w:w="1872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9D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Threshold role</w:t>
            </w:r>
          </w:p>
        </w:tc>
        <w:tc>
          <w:tcPr>
            <w:tcW w:w="792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9E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SNPs</w:t>
            </w:r>
          </w:p>
        </w:tc>
        <w:tc>
          <w:tcPr>
            <w:tcW w:w="2232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9F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IVW OR (95% CI)</w:t>
            </w:r>
          </w:p>
        </w:tc>
        <w:tc>
          <w:tcPr>
            <w:tcW w:w="1080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A0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P value</w:t>
            </w:r>
          </w:p>
        </w:tc>
        <w:tc>
          <w:tcPr>
            <w:tcW w:w="2268" w:type="dxa"/>
            <w:tcBorders>
              <w:top w:val="single" w:sz="1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A1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000000"/>
                <w:sz w:val="16"/>
                <w:szCs w:val="16"/>
              </w:rPr>
              <w:t>Interpretation</w:t>
            </w:r>
          </w:p>
        </w:tc>
      </w:tr>
      <w:tr w:rsidR="00F04734" w14:paraId="500E98AC" w14:textId="77777777" w:rsidTr="00C830A9">
        <w:trPr>
          <w:jc w:val="center"/>
        </w:trPr>
        <w:tc>
          <w:tcPr>
            <w:tcW w:w="180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A3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Swedish 2026</w:t>
            </w:r>
          </w:p>
        </w:tc>
        <w:tc>
          <w:tcPr>
            <w:tcW w:w="165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A4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Veillonella</w:t>
            </w:r>
          </w:p>
        </w:tc>
        <w:tc>
          <w:tcPr>
            <w:tcW w:w="1224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A5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Primary</w:t>
            </w:r>
          </w:p>
        </w:tc>
        <w:tc>
          <w:tcPr>
            <w:tcW w:w="1656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A6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5 × 10^-6</w:t>
            </w:r>
          </w:p>
        </w:tc>
        <w:tc>
          <w:tcPr>
            <w:tcW w:w="187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A7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Primary</w:t>
            </w:r>
          </w:p>
        </w:tc>
        <w:tc>
          <w:tcPr>
            <w:tcW w:w="79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A8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2232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A9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0.921 (0.653–1.300)</w:t>
            </w:r>
          </w:p>
        </w:tc>
        <w:tc>
          <w:tcPr>
            <w:tcW w:w="1080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AA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0.639</w:t>
            </w:r>
          </w:p>
        </w:tc>
        <w:tc>
          <w:tcPr>
            <w:tcW w:w="2268" w:type="dxa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AB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Does not meet P &lt; 0.0125</w:t>
            </w:r>
          </w:p>
        </w:tc>
      </w:tr>
      <w:tr w:rsidR="00F04734" w14:paraId="500E98B6" w14:textId="77777777" w:rsidTr="00C830A9">
        <w:trPr>
          <w:jc w:val="center"/>
        </w:trPr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AD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Swedish 2026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AE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Veillonellaceae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AF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Primary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B0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5 × 10^-6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B1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Primary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B2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B3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0.878 (0.601–1.283)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B4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0.503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B5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Does not meet P &lt; 0.0125</w:t>
            </w:r>
          </w:p>
        </w:tc>
      </w:tr>
      <w:tr w:rsidR="00F04734" w14:paraId="500E98C0" w14:textId="77777777" w:rsidTr="00C830A9">
        <w:trPr>
          <w:jc w:val="center"/>
        </w:trPr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B7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DMP 2022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B8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Veillonella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B9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Secondary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BA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5 × 10^-6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BB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Primary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BC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BD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1.018 (0.901–1.150)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BE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0.775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BF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Does not meet P &lt; 0.0125</w:t>
            </w:r>
          </w:p>
        </w:tc>
      </w:tr>
      <w:tr w:rsidR="00F04734" w14:paraId="500E98CA" w14:textId="77777777" w:rsidTr="00C830A9">
        <w:trPr>
          <w:jc w:val="center"/>
        </w:trPr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C1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DMP 2022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C2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Veillonellaceae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C3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Secondary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C4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5 × 10^-6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C5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Primary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C6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C7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1.145 (0.934–1.403)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C8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0.192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C9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Does not meet P &lt; 0.0125</w:t>
            </w:r>
          </w:p>
        </w:tc>
      </w:tr>
      <w:tr w:rsidR="00F04734" w14:paraId="500E98D4" w14:textId="77777777" w:rsidTr="00C830A9">
        <w:trPr>
          <w:jc w:val="center"/>
        </w:trPr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CB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Swedish 2026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CC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Veillonella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CD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Primary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CE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1 × 10^-5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CF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Secondary sensitivity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D0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D1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0.915 (0.684–1.225)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D2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0.553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D3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Does not meet P &lt; 0.0125</w:t>
            </w:r>
          </w:p>
        </w:tc>
      </w:tr>
      <w:tr w:rsidR="00F04734" w14:paraId="500E98DE" w14:textId="77777777" w:rsidTr="00C830A9">
        <w:trPr>
          <w:jc w:val="center"/>
        </w:trPr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D5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Swedish 2026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D6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Veillonellaceae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D7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Primary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D8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1 × 10^-5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D9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Secondary sensitivity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DA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DB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0.925 (0.621–1.377)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DC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0.700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DD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Does not meet P &lt; 0.0125</w:t>
            </w:r>
          </w:p>
        </w:tc>
      </w:tr>
      <w:tr w:rsidR="00F04734" w14:paraId="500E98E8" w14:textId="77777777" w:rsidTr="00C830A9">
        <w:trPr>
          <w:jc w:val="center"/>
        </w:trPr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DF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DMP 2022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E0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color w:val="000000"/>
                <w:sz w:val="16"/>
                <w:szCs w:val="16"/>
              </w:rPr>
              <w:t>Veillonella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E1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Secondary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E2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1 × 10^-5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E3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Secondary sensitivity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E4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E5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1.040 (0.933–1.160)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E6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0.479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E7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Does not meet P &lt; 0.0125</w:t>
            </w:r>
          </w:p>
        </w:tc>
      </w:tr>
      <w:tr w:rsidR="00F04734" w14:paraId="500E98F2" w14:textId="77777777" w:rsidTr="00C830A9">
        <w:trPr>
          <w:jc w:val="center"/>
        </w:trPr>
        <w:tc>
          <w:tcPr>
            <w:tcW w:w="180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E9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DMP 2022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EA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Veillonellaceae</w:t>
            </w:r>
          </w:p>
        </w:tc>
        <w:tc>
          <w:tcPr>
            <w:tcW w:w="1224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EB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Secondary</w:t>
            </w:r>
          </w:p>
        </w:tc>
        <w:tc>
          <w:tcPr>
            <w:tcW w:w="1656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EC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 ≤ 1 × 10^-5</w:t>
            </w:r>
          </w:p>
        </w:tc>
        <w:tc>
          <w:tcPr>
            <w:tcW w:w="1872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ED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Secondary sensitivity</w:t>
            </w:r>
          </w:p>
        </w:tc>
        <w:tc>
          <w:tcPr>
            <w:tcW w:w="792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EE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232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EF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1.167 (1.045–1.303)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F0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0.00616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E98F1" w14:textId="77777777" w:rsidR="00F04734" w:rsidRDefault="00DB164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60" w:after="60"/>
              <w:ind w:left="50" w:right="5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Meets P &lt; 0.0125; secondary sensitivity finding</w:t>
            </w:r>
          </w:p>
        </w:tc>
      </w:tr>
    </w:tbl>
    <w:p w14:paraId="500E98F3" w14:textId="77777777" w:rsidR="00F04734" w:rsidRDefault="00DB16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color w:val="000000"/>
          <w:sz w:val="16"/>
          <w:szCs w:val="16"/>
        </w:rPr>
        <w:t>Abbreviations: CI, confidence interval; DMP, Dutch Microbiome Project; IVW, inverse-variance weighted; OR, odds ratio; SNP, single-nucleotide polymorphism.</w:t>
      </w:r>
    </w:p>
    <w:p w14:paraId="500E98F7" w14:textId="6E35CE3C" w:rsidR="00F04734" w:rsidRDefault="00DB164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</w:pPr>
      <w:r>
        <w:rPr>
          <w:rFonts w:ascii="Arial" w:eastAsia="Arial" w:hAnsi="Arial" w:cs="Arial"/>
          <w:color w:val="000000"/>
          <w:sz w:val="16"/>
          <w:szCs w:val="16"/>
        </w:rPr>
        <w:t>Swedish 2026 was designated the primary Post-reg exposure-source robustness dataset and DMP 2022 the secondary dataset. P ≤ 5 × 10^-6 was the primary instrument-selection threshold; P ≤ 1 × 10^-5 was a prespecified secondary threshold-sensitivity analysis.</w:t>
      </w:r>
      <w:r w:rsidR="002C15C5">
        <w:rPr>
          <w:rFonts w:ascii="Arial" w:eastAsia="SimSun" w:hAnsi="Arial" w:cs="Arial" w:hint="eastAsia"/>
          <w:color w:val="000000"/>
          <w:sz w:val="16"/>
          <w:szCs w:val="16"/>
          <w:lang w:eastAsia="zh-CN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For the four primary external comparisons, the multiplicity-aware reference threshold was P &lt; 0.0125. The same reference threshold is shown for the secondary threshold-sensitivity analyses for transparent comparison.</w:t>
      </w:r>
      <w:r w:rsidR="002C15C5">
        <w:rPr>
          <w:rFonts w:ascii="Arial" w:eastAsia="SimSun" w:hAnsi="Arial" w:cs="Arial" w:hint="eastAsia"/>
          <w:color w:val="000000"/>
          <w:sz w:val="16"/>
          <w:szCs w:val="16"/>
          <w:lang w:eastAsia="zh-CN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The DMP 2022 Veillonellaceae result at P ≤ 1 × 10^-5 met the P &lt; 0.0125 reference threshold but remained a secondary sensitivity finding and did not replace the nonsignificant primary analysis.</w:t>
      </w:r>
      <w:r w:rsidR="002C15C5">
        <w:rPr>
          <w:rFonts w:ascii="Arial" w:eastAsia="SimSun" w:hAnsi="Arial" w:cs="Arial" w:hint="eastAsia"/>
          <w:color w:val="000000"/>
          <w:sz w:val="16"/>
          <w:szCs w:val="16"/>
          <w:lang w:eastAsia="zh-CN"/>
        </w:rPr>
        <w:t xml:space="preserve"> </w:t>
      </w:r>
      <w:r>
        <w:rPr>
          <w:rFonts w:ascii="Arial" w:eastAsia="Arial" w:hAnsi="Arial" w:cs="Arial"/>
          <w:color w:val="000000"/>
          <w:sz w:val="16"/>
          <w:szCs w:val="16"/>
        </w:rPr>
        <w:t>No formal meta-analysis across MiBioGen, Swedish 2026, and DMP 2022 was performed because microbiome phenotype scales and preprocessing procedures were not assumed to be directly commensurate.</w:t>
      </w:r>
    </w:p>
    <w:sectPr w:rsidR="00F04734" w:rsidSect="00C830A9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68DF7" w14:textId="77777777" w:rsidR="00DB1640" w:rsidRDefault="00DB1640" w:rsidP="00C830A9">
      <w:r>
        <w:separator/>
      </w:r>
    </w:p>
  </w:endnote>
  <w:endnote w:type="continuationSeparator" w:id="0">
    <w:p w14:paraId="23D01A87" w14:textId="77777777" w:rsidR="00DB1640" w:rsidRDefault="00DB1640" w:rsidP="00C83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089CB" w14:textId="77777777" w:rsidR="00DB1640" w:rsidRDefault="00DB1640" w:rsidP="00C830A9">
      <w:r>
        <w:separator/>
      </w:r>
    </w:p>
  </w:footnote>
  <w:footnote w:type="continuationSeparator" w:id="0">
    <w:p w14:paraId="4C00E6FA" w14:textId="77777777" w:rsidR="00DB1640" w:rsidRDefault="00DB1640" w:rsidP="00C83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22654333">
    <w:abstractNumId w:val="1"/>
  </w:num>
  <w:num w:numId="2" w16cid:durableId="470904737">
    <w:abstractNumId w:val="2"/>
  </w:num>
  <w:num w:numId="3" w16cid:durableId="85881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C15C5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9A01E4"/>
    <w:rsid w:val="009A39D4"/>
    <w:rsid w:val="00AE18EF"/>
    <w:rsid w:val="00AE1BDD"/>
    <w:rsid w:val="00B3547C"/>
    <w:rsid w:val="00B4379D"/>
    <w:rsid w:val="00C27329"/>
    <w:rsid w:val="00C31EEB"/>
    <w:rsid w:val="00C830A9"/>
    <w:rsid w:val="00DB1640"/>
    <w:rsid w:val="00F04734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0E9898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Header">
    <w:name w:val="header"/>
    <w:basedOn w:val="Normal"/>
    <w:link w:val="HeaderChar"/>
    <w:uiPriority w:val="99"/>
    <w:unhideWhenUsed/>
    <w:rsid w:val="00C830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30A9"/>
  </w:style>
  <w:style w:type="paragraph" w:styleId="Footer">
    <w:name w:val="footer"/>
    <w:basedOn w:val="Normal"/>
    <w:link w:val="FooterChar"/>
    <w:uiPriority w:val="99"/>
    <w:unhideWhenUsed/>
    <w:rsid w:val="00C830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3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Peng Zhang</cp:lastModifiedBy>
  <cp:revision>12</cp:revision>
  <dcterms:created xsi:type="dcterms:W3CDTF">2017-02-28T11:18:00Z</dcterms:created>
  <dcterms:modified xsi:type="dcterms:W3CDTF">2026-09-12T01:57:00Z</dcterms:modified>
  <cp:category/>
</cp:coreProperties>
</file>