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B8296" w14:textId="0B6D1525" w:rsidR="0031443C" w:rsidRDefault="007B6B37" w:rsidP="006A56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Keeping a record of your sources</w:t>
      </w:r>
      <w:r w:rsidR="00DF0EE8">
        <w:rPr>
          <w:b/>
          <w:bCs/>
          <w:sz w:val="28"/>
          <w:szCs w:val="28"/>
        </w:rPr>
        <w:t xml:space="preserve"> </w:t>
      </w:r>
    </w:p>
    <w:p w14:paraId="78972EB1" w14:textId="77777777" w:rsidR="007B6B37" w:rsidRDefault="007B6B37" w:rsidP="007B6B3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B6B37" w14:paraId="517FD7EB" w14:textId="77777777" w:rsidTr="006E48A8">
        <w:tc>
          <w:tcPr>
            <w:tcW w:w="3080" w:type="dxa"/>
          </w:tcPr>
          <w:p w14:paraId="5AE72F2A" w14:textId="77777777" w:rsidR="007B6B37" w:rsidRDefault="007B6B37" w:rsidP="006E48A8">
            <w:pPr>
              <w:rPr>
                <w:b/>
              </w:rPr>
            </w:pP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Source and type</w:t>
            </w:r>
          </w:p>
        </w:tc>
        <w:tc>
          <w:tcPr>
            <w:tcW w:w="3081" w:type="dxa"/>
          </w:tcPr>
          <w:p w14:paraId="720949A1" w14:textId="77777777" w:rsidR="007B6B37" w:rsidRDefault="007B6B37" w:rsidP="006E48A8">
            <w:pPr>
              <w:rPr>
                <w:b/>
              </w:rPr>
            </w:pPr>
            <w:r>
              <w:rPr>
                <w:rFonts w:ascii="Calibri" w:hAnsi="Calibri"/>
                <w:b/>
                <w:sz w:val="18"/>
              </w:rPr>
              <w:t>Main Topic</w:t>
            </w:r>
          </w:p>
        </w:tc>
        <w:tc>
          <w:tcPr>
            <w:tcW w:w="3081" w:type="dxa"/>
          </w:tcPr>
          <w:p w14:paraId="695A8A7D" w14:textId="77777777" w:rsidR="007B6B37" w:rsidRDefault="007B6B37" w:rsidP="006E48A8">
            <w:pPr>
              <w:rPr>
                <w:b/>
              </w:rPr>
            </w:pPr>
            <w:r>
              <w:rPr>
                <w:rFonts w:ascii="Calibri" w:hAnsi="Calibri"/>
                <w:b/>
                <w:sz w:val="18"/>
              </w:rPr>
              <w:t>Research conducted</w:t>
            </w:r>
          </w:p>
        </w:tc>
      </w:tr>
      <w:tr w:rsidR="007B6B37" w14:paraId="29A97821" w14:textId="77777777" w:rsidTr="006E48A8">
        <w:tc>
          <w:tcPr>
            <w:tcW w:w="3080" w:type="dxa"/>
          </w:tcPr>
          <w:p>
            <w:pPr/>
            <w:r>
              <w:rPr>
                <w:rFonts w:ascii="Calibri" w:hAnsi="Calibri"/>
                <w:sz w:val="18"/>
              </w:rPr>
              <w:t>Peña-Ardila, E.F. (2026)</w:t>
              <w:br/>
              <w:t>Journal article (systematic review + meta-analysis)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Transfer of technical &amp; tactical skills from futsal to soccer: the 'donor sport' concept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Systematic review (PRISMA 2020) of 3 databases up to Nov 2025. 7 studies included. Meta-analysis: passing accuracy SMD=1.43 (very large ES). Time-based perceptual-motor outcomes non-significant &amp; highly heterogeneous.</w:t>
            </w:r>
          </w:p>
        </w:tc>
      </w:tr>
      <w:tr w:rsidR="007B6B37" w14:paraId="69385788" w14:textId="77777777" w:rsidTr="006E48A8">
        <w:tc>
          <w:tcPr>
            <w:tcW w:w="3080" w:type="dxa"/>
          </w:tcPr>
          <w:p>
            <w:pPr/>
            <w:r>
              <w:rPr>
                <w:rFonts w:ascii="Calibri" w:hAnsi="Calibri"/>
                <w:sz w:val="18"/>
              </w:rPr>
              <w:t>Oppici, L., Panchuk, D., Serpiello, F.R. and Farrow, D. (2018)</w:t>
              <w:br/>
              <w:t>Journal article (RCT)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Futsal task constraints promote transfer of passing skill to soccer task constraints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RCT: n=48 (24 futsal, 24 soccer), age ~13.6yr. Two 5v5+GK modified games. Measured passing accuracy + attention orientation. Futsal group improved ES=0.75; superior to soccer group in soccer task (ES=2.98).</w:t>
            </w:r>
          </w:p>
        </w:tc>
      </w:tr>
      <w:tr w:rsidR="007B6B37" w14:paraId="3A15A810" w14:textId="77777777" w:rsidTr="006E48A8">
        <w:tc>
          <w:tcPr>
            <w:tcW w:w="3080" w:type="dxa"/>
          </w:tcPr>
          <w:p>
            <w:pPr/>
            <w:r>
              <w:rPr>
                <w:rFonts w:ascii="Calibri" w:hAnsi="Calibri"/>
                <w:sz w:val="18"/>
              </w:rPr>
              <w:t>Travassos, B., Araújo, D. and Davids, K. (2018)</w:t>
              <w:br/>
              <w:t>Journal article (commentary)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Is futsal a donor sport for football? Complementarity for early diversification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Theoretical commentary. Argues for 'complementarity' over simple transfer. Futsal + football share ecological similarities; early diversification &gt; early specialisation. CLA as mechanism for transfer via constraint overlap.</w:t>
            </w:r>
          </w:p>
        </w:tc>
      </w:tr>
      <w:tr w:rsidR="007B6B37" w14:paraId="29D002BC" w14:textId="77777777" w:rsidTr="006E48A8">
        <w:tc>
          <w:tcPr>
            <w:tcW w:w="3080" w:type="dxa"/>
          </w:tcPr>
          <w:p>
            <w:pPr/>
            <w:r>
              <w:rPr>
                <w:rFonts w:ascii="Calibri" w:hAnsi="Calibri"/>
                <w:sz w:val="18"/>
              </w:rPr>
              <w:t>Machado, G., González-Víllora, S. and Teoldo, I. (2024)</w:t>
              <w:br/>
              <w:t>Journal article (empirical)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Deliberate practice, play, and futsal: decision-making skills in Brazilian professional female soccer players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N=77 Brazilian professional female players. TacticUP® video-based DM test. Retrospective questionnaire on developmental activities. HS group: more futsal practice hours in early adolescence (13-15yr). Futsal practice → better offensive DM quality. Soccer play → faster DM speed.</w:t>
            </w:r>
          </w:p>
        </w:tc>
      </w:tr>
      <w:tr w:rsidR="007B6B37" w14:paraId="3D7828B0" w14:textId="77777777" w:rsidTr="006E48A8">
        <w:tc>
          <w:tcPr>
            <w:tcW w:w="3080" w:type="dxa"/>
          </w:tcPr>
          <w:p>
            <w:pPr/>
            <w:r>
              <w:rPr>
                <w:rFonts w:ascii="Calibri" w:hAnsi="Calibri"/>
                <w:sz w:val="18"/>
              </w:rPr>
              <w:t>Yiannaki, C., Barron, D.J., Collins, D. and Carling, C. (2020)</w:t>
              <w:br/>
              <w:t>Journal article (case study)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Match performance in a reference futsal team: implications for talent development in soccer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N=16 national team futsal players. International tournament. Internal load: HR 164.7 bpm (87.7% MHR). External load: 2.16 accel + 2.78 decel events/min. Technical: 647 passes/game, 77.3% sole receptions, 84.1% dominant-foot passes.</w:t>
            </w:r>
          </w:p>
        </w:tc>
      </w:tr>
      <w:tr w:rsidR="007B6B37" w14:paraId="71BED40C" w14:textId="77777777" w:rsidTr="006E48A8">
        <w:tc>
          <w:tcPr>
            <w:tcW w:w="3080" w:type="dxa"/>
          </w:tcPr>
          <w:p>
            <w:pPr/>
            <w:r>
              <w:rPr>
                <w:rFonts w:ascii="Calibri" w:hAnsi="Calibri"/>
                <w:sz w:val="18"/>
              </w:rPr>
              <w:t>Yiannaki, C., Toering, T., Collins, D. and Carling, C. (2026)</w:t>
              <w:br/>
              <w:t>Journal article (qualitative)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The role of futsal in football talent development: expert coach perceptions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Semi-structured interviews with 10 elite coaches qualified in both futsal and football. Inductive thematic analysis. Coaches perceived futsal constraints (ball, surface, court size) → beneficial behaviours for football. Barriers: governance, coach education gaps.</w:t>
            </w:r>
          </w:p>
        </w:tc>
      </w:tr>
      <w:tr w:rsidR="007B6B37" w14:paraId="1F2C3FBD" w14:textId="77777777" w:rsidTr="006E48A8">
        <w:tc>
          <w:tcPr>
            <w:tcW w:w="3080" w:type="dxa"/>
          </w:tcPr>
          <w:p>
            <w:pPr/>
            <w:r>
              <w:rPr>
                <w:rFonts w:ascii="Calibri" w:hAnsi="Calibri"/>
                <w:sz w:val="18"/>
              </w:rPr>
              <w:t>Nunes, N.A., Gonçalves, B., Davids, K., Esteves, P. and Travassos, B. (2021)</w:t>
              <w:br/>
              <w:t>Journal article (experimental)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Playing area dimensions in ball possession games: physical effort &amp; technical actions in U11, U15, U23</w:t>
            </w:r>
          </w:p>
        </w:tc>
        <w:tc>
          <w:tcPr>
            <w:tcW w:w="3081" w:type="dxa"/>
          </w:tcPr>
          <w:p>
            <w:pPr/>
            <w:r>
              <w:rPr>
                <w:rFonts w:ascii="Calibri" w:hAnsi="Calibri"/>
                <w:sz w:val="18"/>
              </w:rPr>
              <w:t>N=52 academy players, 3 age groups. 4v4 SSCGs at 3 area sizes (20×15m, 25×20m, 30×25m). Measured external/internal load + passing. Key: age × area interaction — U11 most sensitive; U23 pattern opposite to U11. U15 least affected.</w:t>
            </w:r>
          </w:p>
        </w:tc>
      </w:tr>
      <w:tr w:rsidR="007B6B37" w14:paraId="7F8AF36E" w14:textId="77777777" w:rsidTr="006E48A8">
        <w:tc>
          <w:tcPr>
            <w:tcW w:w="3080" w:type="dxa"/>
          </w:tcPr>
          <w:p w14:paraId="7F95ED07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35B32EAA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3611F2D2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699D2B91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4D9D4C3E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2682B5F3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</w:tr>
      <w:tr w:rsidR="007B6B37" w14:paraId="7244F6D3" w14:textId="77777777" w:rsidTr="006E48A8">
        <w:tc>
          <w:tcPr>
            <w:tcW w:w="3080" w:type="dxa"/>
          </w:tcPr>
          <w:p w14:paraId="10A9C018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5B3B1961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05499514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72E8D6E3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6988AC43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3B457276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</w:tr>
      <w:tr w:rsidR="007B6B37" w14:paraId="40C25AEE" w14:textId="77777777" w:rsidTr="006E48A8">
        <w:tc>
          <w:tcPr>
            <w:tcW w:w="3080" w:type="dxa"/>
          </w:tcPr>
          <w:p w14:paraId="5ABDF450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44527E0C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2BBA7C29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2C39F6A8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46B842A1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25E0EBCA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</w:tr>
      <w:tr w:rsidR="007B6B37" w14:paraId="5FC2A709" w14:textId="77777777" w:rsidTr="006E48A8">
        <w:tc>
          <w:tcPr>
            <w:tcW w:w="3080" w:type="dxa"/>
          </w:tcPr>
          <w:p w14:paraId="7B273F4A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2BB3EA21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3029AB5D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  <w:p w14:paraId="499FCB2D" w14:textId="77777777" w:rsidR="007B6B37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124266A0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  <w:tc>
          <w:tcPr>
            <w:tcW w:w="3081" w:type="dxa"/>
          </w:tcPr>
          <w:p w14:paraId="1867C379" w14:textId="77777777" w:rsidR="007B6B37" w:rsidRPr="00FC4B5A" w:rsidRDefault="007B6B37" w:rsidP="006E48A8">
            <w:pPr>
              <w:rPr>
                <w:bCs/>
                <w:sz w:val="22"/>
                <w:szCs w:val="22"/>
              </w:rPr>
            </w:pPr>
          </w:p>
        </w:tc>
      </w:tr>
    </w:tbl>
    <w:p w14:paraId="498EF94F" w14:textId="77777777" w:rsidR="007B6B37" w:rsidRDefault="007B6B37" w:rsidP="007B6B37">
      <w:pPr>
        <w:rPr>
          <w:b/>
        </w:rPr>
      </w:pPr>
    </w:p>
    <w:p w14:paraId="72D0F3D8" w14:textId="77777777" w:rsidR="007B6B37" w:rsidRPr="007A5965" w:rsidRDefault="007B6B37" w:rsidP="006A5665">
      <w:pPr>
        <w:rPr>
          <w:b/>
          <w:bCs/>
          <w:sz w:val="28"/>
          <w:szCs w:val="28"/>
        </w:rPr>
      </w:pPr>
    </w:p>
    <w:sectPr w:rsidR="007B6B37" w:rsidRPr="007A5965" w:rsidSect="005D01E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D324F" w14:textId="77777777" w:rsidR="00FB5550" w:rsidRDefault="00FB5550" w:rsidP="003B1CDA">
      <w:pPr>
        <w:spacing w:after="0" w:line="240" w:lineRule="auto"/>
      </w:pPr>
      <w:r>
        <w:separator/>
      </w:r>
    </w:p>
  </w:endnote>
  <w:endnote w:type="continuationSeparator" w:id="0">
    <w:p w14:paraId="790E579F" w14:textId="77777777" w:rsidR="00FB5550" w:rsidRDefault="00FB5550" w:rsidP="003B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006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AD8E3" w14:textId="77777777" w:rsidR="00481876" w:rsidRDefault="007B6B37" w:rsidP="005D01E1">
        <w:pPr>
          <w:pStyle w:val="Footer"/>
          <w:jc w:val="center"/>
        </w:pPr>
      </w:p>
    </w:sdtContent>
  </w:sdt>
  <w:p w14:paraId="495F2E4B" w14:textId="77777777" w:rsidR="00481876" w:rsidRDefault="004818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289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AE8B94" w14:textId="6E66F2F0" w:rsidR="00DF0EE8" w:rsidRDefault="00DF0E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B4932D" w14:textId="77777777" w:rsidR="006404D6" w:rsidRDefault="00640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2D50F" w14:textId="77777777" w:rsidR="00FB5550" w:rsidRDefault="00FB5550" w:rsidP="003B1CDA">
      <w:pPr>
        <w:spacing w:after="0" w:line="240" w:lineRule="auto"/>
      </w:pPr>
      <w:r>
        <w:separator/>
      </w:r>
    </w:p>
  </w:footnote>
  <w:footnote w:type="continuationSeparator" w:id="0">
    <w:p w14:paraId="37654E45" w14:textId="77777777" w:rsidR="00FB5550" w:rsidRDefault="00FB5550" w:rsidP="003B1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B9611" w14:textId="77777777" w:rsidR="00FB5550" w:rsidRPr="00883864" w:rsidRDefault="00FB5550" w:rsidP="00B21A3F">
    <w:pPr>
      <w:pStyle w:val="Header"/>
      <w:rPr>
        <w:b/>
        <w:bCs/>
      </w:rPr>
    </w:pPr>
  </w:p>
  <w:p w14:paraId="27F8E058" w14:textId="77777777" w:rsidR="00FB5550" w:rsidRDefault="00FB55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80481" w14:textId="72F6303E" w:rsidR="006404D6" w:rsidRDefault="006404D6" w:rsidP="006404D6">
    <w:pPr>
      <w:tabs>
        <w:tab w:val="left" w:pos="7200"/>
      </w:tabs>
      <w:rPr>
        <w:color w:val="B70062"/>
      </w:rPr>
    </w:pPr>
    <w:r>
      <w:rPr>
        <w:noProof/>
      </w:rPr>
      <w:drawing>
        <wp:anchor distT="0" distB="0" distL="114300" distR="114300" simplePos="0" relativeHeight="251682304" behindDoc="0" locked="0" layoutInCell="1" allowOverlap="1" wp14:anchorId="25288371" wp14:editId="1E4742E5">
          <wp:simplePos x="0" y="0"/>
          <wp:positionH relativeFrom="column">
            <wp:posOffset>4314825</wp:posOffset>
          </wp:positionH>
          <wp:positionV relativeFrom="paragraph">
            <wp:posOffset>-135255</wp:posOffset>
          </wp:positionV>
          <wp:extent cx="2066925" cy="600075"/>
          <wp:effectExtent l="0" t="0" r="0" b="0"/>
          <wp:wrapSquare wrapText="bothSides"/>
          <wp:docPr id="2" name="Picture 2" descr="LU_Exam_Paper_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LU_Exam_Paper_CO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007" t="4469" r="5208" b="88551"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0" w:name="_Hlk511054224"/>
    <w:bookmarkStart w:id="1" w:name="_Hlk511054346"/>
    <w:r w:rsidR="007B6B37">
      <w:rPr>
        <w:color w:val="B70062"/>
      </w:rPr>
      <w:t xml:space="preserve">Online Pre-sessional Programme </w:t>
    </w:r>
    <w:bookmarkEnd w:id="0"/>
    <w:bookmarkEnd w:id="1"/>
  </w:p>
  <w:p w14:paraId="29918ED9" w14:textId="77777777" w:rsidR="005D01E1" w:rsidRDefault="005D01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3074"/>
    <w:multiLevelType w:val="hybridMultilevel"/>
    <w:tmpl w:val="2C0AC2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24A50"/>
    <w:multiLevelType w:val="hybridMultilevel"/>
    <w:tmpl w:val="09CAD7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C352F"/>
    <w:multiLevelType w:val="hybridMultilevel"/>
    <w:tmpl w:val="25769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F4B9C"/>
    <w:multiLevelType w:val="hybridMultilevel"/>
    <w:tmpl w:val="24F429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C2D0E"/>
    <w:multiLevelType w:val="hybridMultilevel"/>
    <w:tmpl w:val="4F62D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51779E"/>
    <w:multiLevelType w:val="hybridMultilevel"/>
    <w:tmpl w:val="92AEC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EB6"/>
    <w:rsid w:val="00021A57"/>
    <w:rsid w:val="00034F48"/>
    <w:rsid w:val="000362CA"/>
    <w:rsid w:val="00052A0C"/>
    <w:rsid w:val="000B32F8"/>
    <w:rsid w:val="000F7BC7"/>
    <w:rsid w:val="001028E5"/>
    <w:rsid w:val="00126E60"/>
    <w:rsid w:val="00130EE6"/>
    <w:rsid w:val="001925C2"/>
    <w:rsid w:val="002104E5"/>
    <w:rsid w:val="00242EEA"/>
    <w:rsid w:val="00267464"/>
    <w:rsid w:val="00267F94"/>
    <w:rsid w:val="0027208C"/>
    <w:rsid w:val="002831E2"/>
    <w:rsid w:val="002D5BA7"/>
    <w:rsid w:val="002F4729"/>
    <w:rsid w:val="0031443C"/>
    <w:rsid w:val="0033184D"/>
    <w:rsid w:val="003343C6"/>
    <w:rsid w:val="00337889"/>
    <w:rsid w:val="003434F8"/>
    <w:rsid w:val="00351140"/>
    <w:rsid w:val="003A6264"/>
    <w:rsid w:val="003B1CDA"/>
    <w:rsid w:val="003E6A0B"/>
    <w:rsid w:val="003F2587"/>
    <w:rsid w:val="00440DC2"/>
    <w:rsid w:val="00454546"/>
    <w:rsid w:val="00481876"/>
    <w:rsid w:val="004B703D"/>
    <w:rsid w:val="004C18D3"/>
    <w:rsid w:val="004E5371"/>
    <w:rsid w:val="005049D5"/>
    <w:rsid w:val="00566518"/>
    <w:rsid w:val="005C7788"/>
    <w:rsid w:val="005D01E1"/>
    <w:rsid w:val="00607318"/>
    <w:rsid w:val="006316A8"/>
    <w:rsid w:val="00634CF9"/>
    <w:rsid w:val="006404D6"/>
    <w:rsid w:val="00684D6F"/>
    <w:rsid w:val="00691B40"/>
    <w:rsid w:val="006A0178"/>
    <w:rsid w:val="006A5665"/>
    <w:rsid w:val="006A6817"/>
    <w:rsid w:val="006C3FD0"/>
    <w:rsid w:val="006F1CEF"/>
    <w:rsid w:val="007002A8"/>
    <w:rsid w:val="007005F5"/>
    <w:rsid w:val="00745E2A"/>
    <w:rsid w:val="00757A86"/>
    <w:rsid w:val="007A5965"/>
    <w:rsid w:val="007B0D2C"/>
    <w:rsid w:val="007B6B37"/>
    <w:rsid w:val="0080783A"/>
    <w:rsid w:val="00822B9C"/>
    <w:rsid w:val="00841E60"/>
    <w:rsid w:val="00883864"/>
    <w:rsid w:val="00886C8A"/>
    <w:rsid w:val="008944BA"/>
    <w:rsid w:val="008B5CE2"/>
    <w:rsid w:val="008D51A1"/>
    <w:rsid w:val="00912356"/>
    <w:rsid w:val="009660EB"/>
    <w:rsid w:val="00981AF0"/>
    <w:rsid w:val="009906B0"/>
    <w:rsid w:val="009970E8"/>
    <w:rsid w:val="009C6B66"/>
    <w:rsid w:val="009D61DB"/>
    <w:rsid w:val="009E7AA5"/>
    <w:rsid w:val="00A05A59"/>
    <w:rsid w:val="00A5073F"/>
    <w:rsid w:val="00A62834"/>
    <w:rsid w:val="00A71142"/>
    <w:rsid w:val="00A95D76"/>
    <w:rsid w:val="00AC6E14"/>
    <w:rsid w:val="00B10851"/>
    <w:rsid w:val="00B10901"/>
    <w:rsid w:val="00B21A3F"/>
    <w:rsid w:val="00B571E0"/>
    <w:rsid w:val="00B766FB"/>
    <w:rsid w:val="00BA48D1"/>
    <w:rsid w:val="00BC2C73"/>
    <w:rsid w:val="00C66272"/>
    <w:rsid w:val="00CC67AD"/>
    <w:rsid w:val="00D242FD"/>
    <w:rsid w:val="00D44B68"/>
    <w:rsid w:val="00DC352C"/>
    <w:rsid w:val="00DD6383"/>
    <w:rsid w:val="00DF0EE8"/>
    <w:rsid w:val="00E051B6"/>
    <w:rsid w:val="00E15F98"/>
    <w:rsid w:val="00E46F36"/>
    <w:rsid w:val="00E574A6"/>
    <w:rsid w:val="00E65946"/>
    <w:rsid w:val="00E748A7"/>
    <w:rsid w:val="00EA6723"/>
    <w:rsid w:val="00ED0876"/>
    <w:rsid w:val="00EE0E0E"/>
    <w:rsid w:val="00F132D9"/>
    <w:rsid w:val="00F34E63"/>
    <w:rsid w:val="00F4467A"/>
    <w:rsid w:val="00F463DE"/>
    <w:rsid w:val="00F53211"/>
    <w:rsid w:val="00FA3F1D"/>
    <w:rsid w:val="00FB5550"/>
    <w:rsid w:val="00FC1B0B"/>
    <w:rsid w:val="00FD1EB6"/>
    <w:rsid w:val="00FE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."/>
  <w:listSeparator w:val=","/>
  <w14:docId w14:val="18541735"/>
  <w15:docId w15:val="{4FFDF07B-B5B6-43C2-B701-DF3C8A1C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CEF"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71E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CDA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B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CDA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8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2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3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2777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Loughborough University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Staff/Research Student</dc:creator>
  <cp:lastModifiedBy>Nola Dennis</cp:lastModifiedBy>
  <cp:revision>76</cp:revision>
  <cp:lastPrinted>2019-07-29T14:36:00Z</cp:lastPrinted>
  <dcterms:created xsi:type="dcterms:W3CDTF">2011-11-03T10:44:00Z</dcterms:created>
  <dcterms:modified xsi:type="dcterms:W3CDTF">2021-05-25T21:18:00Z</dcterms:modified>
</cp:coreProperties>
</file>