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体育数据分析 · 第二课总结</w:t>
      </w:r>
    </w:p>
    <w:p>
      <w:r>
        <w:rPr>
          <w:i/>
          <w:color w:val="666666"/>
          <w:sz w:val="28"/>
        </w:rPr>
        <w:t>数据、数据管理与数据团队角色</w:t>
        <w:br/>
        <w:t>Data, Data Management &amp; Data Roles</w:t>
      </w:r>
    </w:p>
    <w:p>
      <w:r>
        <w:rPr>
          <w:color w:val="999999"/>
          <w:sz w:val="20"/>
        </w:rPr>
        <w:t>课程：LLP307 Sport Analytics</w:t>
        <w:br/>
        <w:t>日期：2026年9月30日 · 时长 2小时46分</w:t>
        <w:br/>
        <w:t>参考教材：Alamar (2013) Sports Analytics, Ch.2 &amp; Ch.7</w:t>
      </w:r>
    </w:p>
    <w:p>
      <w:r>
        <w:rPr>
          <w:b w:val="0"/>
        </w:rPr>
      </w:r>
    </w:p>
    <w:p>
      <w:pPr>
        <w:pStyle w:val="Heading1"/>
      </w:pPr>
      <w:r>
        <w:t>一、本课核心问题</w:t>
      </w:r>
    </w:p>
    <w:p>
      <w:r>
        <w:rPr>
          <w:b w:val="0"/>
        </w:rPr>
        <w:t>能否信任你在用的数据？如果你无法信任它，你是否能察觉？（Can you trust the data you are using, and would you know if you couldn't?）</w:t>
      </w:r>
    </w:p>
    <w:p>
      <w:r>
        <w:rPr>
          <w:b w:val="0"/>
        </w:rPr>
        <w:t>承接第一课的两个故事——埃弗顿（Steve Walsh 的个人经验判断，未制度化，人走即失效）vs 利物浦（Ian Graham 的分析部门，嵌入俱乐部结构，超越个人存续）——本课给出一个更尖锐的问题：</w:t>
      </w:r>
    </w:p>
    <w:p>
      <w:r>
        <w:rPr>
          <w:b w:val="0"/>
        </w:rPr>
        <w:t>这套东西到底是「能长期存续」的，还是「依赖某个个人碰巧做对了」的？本课提供的词汇，让安能够对任何组织都回答这个问题。</w:t>
      </w:r>
    </w:p>
    <w:p>
      <w:pPr>
        <w:pStyle w:val="Heading1"/>
      </w:pPr>
      <w:r>
        <w:t>二、数据找错练习（Spot the Lie）</w:t>
      </w:r>
    </w:p>
    <w:p>
      <w:r>
        <w:rPr>
          <w:b w:val="0"/>
        </w:rPr>
        <w:t>第一轮：足球比赛结果表，找出四个问题（可结对完成）：</w:t>
      </w:r>
    </w:p>
    <w:p>
      <w:pPr>
        <w:pStyle w:val="ListBullet"/>
      </w:pPr>
      <w:r>
        <w:t>命名不一致（inconsistent naming）：Man Utd 与 Manchester United 混用</w:t>
      </w:r>
    </w:p>
    <w:p>
      <w:pPr>
        <w:pStyle w:val="ListBullet"/>
      </w:pPr>
      <w:r>
        <w:t>重复行（duplicated rows）：同一场比赛数据重复录入，会抬高计数</w:t>
      </w:r>
    </w:p>
    <w:p>
      <w:pPr>
        <w:pStyle w:val="ListBullet"/>
      </w:pPr>
      <w:r>
        <w:t>数据不准确/缺失（incomplete data）：存在空值</w:t>
      </w:r>
    </w:p>
    <w:p>
      <w:pPr>
        <w:pStyle w:val="ListBullet"/>
      </w:pPr>
      <w:r>
        <w:t>数值字段异常：如 12.0、160、9–116 这类错误值</w:t>
      </w:r>
    </w:p>
    <w:p>
      <w:r>
        <w:rPr>
          <w:b w:val="0"/>
        </w:rPr>
        <w:t>第二轮：商业数据集（Attendance/Revenue），额外暴露的问题：</w:t>
      </w:r>
    </w:p>
    <w:p>
      <w:pPr>
        <w:pStyle w:val="ListBullet"/>
      </w:pPr>
      <w:r>
        <w:t>Txn 编号重复（4022 出现两次）</w:t>
      </w:r>
    </w:p>
    <w:p>
      <w:pPr>
        <w:pStyle w:val="ListBullet"/>
      </w:pPr>
      <w:r>
        <w:t>同一俱乐部不同写法：Bath Rugby vs Bath RFC</w:t>
      </w:r>
    </w:p>
    <w:p>
      <w:pPr>
        <w:pStyle w:val="ListBullet"/>
      </w:pPr>
      <w:r>
        <w:t>Revenue 缺失、数值错位（1,204,000 异常）</w:t>
      </w:r>
    </w:p>
    <w:p>
      <w:r>
        <w:rPr>
          <w:b w:val="0"/>
        </w:rPr>
        <w:t>关键提醒：名称相近的球队极易混淆——例如 Southampton Women's FC 与 Southampton FC Women 是两支相距仅两英里的不同球队。</w:t>
      </w:r>
    </w:p>
    <w:p>
      <w:pPr>
        <w:pStyle w:val="Heading1"/>
      </w:pPr>
      <w:r>
        <w:t>三、数据结构：维度、事实与整洁数据</w:t>
      </w:r>
    </w:p>
    <w:p>
      <w:pPr>
        <w:pStyle w:val="Heading2"/>
      </w:pPr>
      <w:r>
        <w:t>3.1 维度（Dimension）与事实（Fact）</w:t>
      </w:r>
    </w:p>
    <w:p>
      <w:pPr>
        <w:pStyle w:val="ListBullet"/>
      </w:pPr>
      <w:r>
        <w:t>维度（dimension）：用于描述/归类事物——球队、位置、赛事、日期</w:t>
      </w:r>
    </w:p>
    <w:p>
      <w:pPr>
        <w:pStyle w:val="ListBullet"/>
      </w:pPr>
      <w:r>
        <w:t>事实/度量（fact/measure）：实际发生的、可计数或计算——进球、跑动距离、收入</w:t>
      </w:r>
    </w:p>
    <w:p>
      <w:pPr>
        <w:pStyle w:val="ListBullet"/>
      </w:pPr>
      <w:r>
        <w:t>星型结构（star schema）：事实在中心，维度在外围</w:t>
      </w:r>
    </w:p>
    <w:p>
      <w:pPr>
        <w:pStyle w:val="ListBullet"/>
      </w:pPr>
      <w:r>
        <w:t>数据结构黄金准则：一行 = 一个观测值（one row = one observation），一列 = 一个变量</w:t>
      </w:r>
    </w:p>
    <w:p>
      <w:pPr>
        <w:pStyle w:val="Heading2"/>
      </w:pPr>
      <w:r>
        <w:t>3.2 数据类型（四种）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定义</w:t>
            </w:r>
          </w:p>
        </w:tc>
        <w:tc>
          <w:tcPr>
            <w:tcW w:type="dxa" w:w="2880"/>
          </w:tcPr>
          <w:p>
            <w:r>
              <w:t>例子</w:t>
            </w:r>
          </w:p>
        </w:tc>
      </w:tr>
      <w:tr>
        <w:tc>
          <w:tcPr>
            <w:tcW w:type="dxa" w:w="2880"/>
          </w:tcPr>
          <w:p>
            <w:r>
              <w:t>Categorical 分类</w:t>
            </w:r>
          </w:p>
        </w:tc>
        <w:tc>
          <w:tcPr>
            <w:tcW w:type="dxa" w:w="2880"/>
          </w:tcPr>
          <w:p>
            <w:r>
              <w:t>命名分组，无顺序；可计数，不可求平均</w:t>
            </w:r>
          </w:p>
        </w:tc>
        <w:tc>
          <w:tcPr>
            <w:tcW w:type="dxa" w:w="2880"/>
          </w:tcPr>
          <w:p>
            <w:r>
              <w:t>球队、赛事、赞助等级</w:t>
            </w:r>
          </w:p>
        </w:tc>
      </w:tr>
      <w:tr>
        <w:tc>
          <w:tcPr>
            <w:tcW w:type="dxa" w:w="2880"/>
          </w:tcPr>
          <w:p>
            <w:r>
              <w:t>Ordinal 有序</w:t>
            </w:r>
          </w:p>
        </w:tc>
        <w:tc>
          <w:tcPr>
            <w:tcW w:type="dxa" w:w="2880"/>
          </w:tcPr>
          <w:p>
            <w:r>
              <w:t>有真实顺序，但等级间无固定相等间隔</w:t>
            </w:r>
          </w:p>
        </w:tc>
        <w:tc>
          <w:tcPr>
            <w:tcW w:type="dxa" w:w="2880"/>
          </w:tcPr>
          <w:p>
            <w:r>
              <w:t>1–5 评分、联赛名次</w:t>
            </w:r>
          </w:p>
        </w:tc>
      </w:tr>
      <w:tr>
        <w:tc>
          <w:tcPr>
            <w:tcW w:type="dxa" w:w="2880"/>
          </w:tcPr>
          <w:p>
            <w:r>
              <w:t>Continuous 连续</w:t>
            </w:r>
          </w:p>
        </w:tc>
        <w:tc>
          <w:tcPr>
            <w:tcW w:type="dxa" w:w="2880"/>
          </w:tcPr>
          <w:p>
            <w:r>
              <w:t>可合理求平均、加减、比较的数值</w:t>
            </w:r>
          </w:p>
        </w:tc>
        <w:tc>
          <w:tcPr>
            <w:tcW w:type="dxa" w:w="2880"/>
          </w:tcPr>
          <w:p>
            <w:r>
              <w:t>跑动距离、发球速度、门票收入</w:t>
            </w:r>
          </w:p>
        </w:tc>
      </w:tr>
      <w:tr>
        <w:tc>
          <w:tcPr>
            <w:tcW w:type="dxa" w:w="2880"/>
          </w:tcPr>
          <w:p>
            <w:r>
              <w:t>Time-series 时间序列</w:t>
            </w:r>
          </w:p>
        </w:tc>
        <w:tc>
          <w:tcPr>
            <w:tcW w:type="dxa" w:w="2880"/>
          </w:tcPr>
          <w:p>
            <w:r>
              <w:t>带时间维度的连续数据，行顺序本身有业务含义</w:t>
            </w:r>
          </w:p>
        </w:tc>
        <w:tc>
          <w:tcPr>
            <w:tcW w:type="dxa" w:w="2880"/>
          </w:tcPr>
          <w:p>
            <w:r>
              <w:t>赛季 GPS 负荷、十年续约数据</w:t>
            </w:r>
          </w:p>
        </w:tc>
      </w:tr>
    </w:tbl>
    <w:p>
      <w:r>
        <w:rPr>
          <w:b w:val="0"/>
        </w:rPr>
      </w:r>
    </w:p>
    <w:p>
      <w:r>
        <w:rPr>
          <w:b/>
        </w:rPr>
        <w:t>结合前锋签约案例快速对应：</w:t>
      </w:r>
    </w:p>
    <w:p>
      <w:pPr>
        <w:pStyle w:val="ListBullet"/>
      </w:pPr>
      <w:r>
        <w:t>分类：球员国籍、场上位置、所属联赛</w:t>
      </w:r>
    </w:p>
    <w:p>
      <w:pPr>
        <w:pStyle w:val="ListBullet"/>
      </w:pPr>
      <w:r>
        <w:t>有序：伤病风险评级（1低~5高）、联赛名次</w:t>
      </w:r>
    </w:p>
    <w:p>
      <w:pPr>
        <w:pStyle w:val="ListBullet"/>
      </w:pPr>
      <w:r>
        <w:t>连续：进球数、xG、出场分钟、薪资</w:t>
      </w:r>
    </w:p>
    <w:p>
      <w:pPr>
        <w:pStyle w:val="ListBullet"/>
      </w:pPr>
      <w:r>
        <w:t>时间序列：过去 36 个月月度出场时间、伤病时间线</w:t>
      </w:r>
    </w:p>
    <w:p>
      <w:pPr>
        <w:pStyle w:val="Heading2"/>
      </w:pPr>
      <w:r>
        <w:t>3.3 Tidy Data（整洁长表）与宽表/长表</w:t>
      </w:r>
    </w:p>
    <w:p>
      <w:r>
        <w:rPr>
          <w:b/>
        </w:rPr>
        <w:t>整洁数据（tidy data）：一行 = 一次观测，一列 = 一个变量。同一份数据只有一种格式可被技术性归类为「整洁」。</w:t>
      </w:r>
    </w:p>
    <w:p>
      <w:r>
        <w:rPr>
          <w:b w:val="0"/>
        </w:rPr>
        <w:t>宽表（wide）→ 长表（long）转换是核心操作：宽表每新增一轮比赛就要加一列，列越堆越多，难以筛选和画图。</w:t>
      </w:r>
    </w:p>
    <w:p>
      <w:r>
        <w:rPr>
          <w:b/>
        </w:rPr>
        <w:t>Tidy data 的优势与局限：</w:t>
      </w:r>
    </w:p>
    <w:p>
      <w:pPr>
        <w:pStyle w:val="ListBullet"/>
      </w:pPr>
      <w:r>
        <w:t>✅ 优势：适配 Python/R/Power BI/可视化/统计模型；结构统一、易协作；新增记录只加行不加列</w:t>
      </w:r>
    </w:p>
    <w:p>
      <w:pPr>
        <w:pStyle w:val="ListBullet"/>
      </w:pPr>
      <w:r>
        <w:t>❌ 局限：给管理层看不直观（董事会/教练偏好宽表横向对比）；长表重复存储分类信息、行数膨胀占内存；部分简单汇总宽表更直接</w:t>
      </w:r>
    </w:p>
    <w:p>
      <w:r>
        <w:rPr>
          <w:b w:val="0"/>
        </w:rPr>
        <w:t>结论：Tidy data 是「分析阶段的标准格式」，但不是所有场景的最优格式。分析/建模/可视化用长表；给决策者快速阅读的汇总报表用宽表。</w:t>
      </w:r>
    </w:p>
    <w:p>
      <w:pPr>
        <w:pStyle w:val="Heading1"/>
      </w:pPr>
      <w:r>
        <w:t>四、数据质量：表层问题 vs 实质性问题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表现</w:t>
            </w:r>
          </w:p>
        </w:tc>
        <w:tc>
          <w:tcPr>
            <w:tcW w:type="dxa" w:w="2880"/>
          </w:tcPr>
          <w:p>
            <w:r>
              <w:t>后果</w:t>
            </w:r>
          </w:p>
        </w:tc>
      </w:tr>
      <w:tr>
        <w:tc>
          <w:tcPr>
            <w:tcW w:type="dxa" w:w="2880"/>
          </w:tcPr>
          <w:p>
            <w:r>
              <w:t>表层 Cosmetic</w:t>
            </w:r>
          </w:p>
        </w:tc>
        <w:tc>
          <w:tcPr>
            <w:tcW w:type="dxa" w:w="2880"/>
          </w:tcPr>
          <w:p>
            <w:r>
              <w:t>命名不一致；重复行</w:t>
            </w:r>
          </w:p>
        </w:tc>
        <w:tc>
          <w:tcPr>
            <w:tcW w:type="dxa" w:w="2880"/>
          </w:tcPr>
          <w:p>
            <w:r>
              <w:t>令人烦恼，抬高聚合结果，但一般不颠覆决策</w:t>
            </w:r>
          </w:p>
        </w:tc>
      </w:tr>
      <w:tr>
        <w:tc>
          <w:tcPr>
            <w:tcW w:type="dxa" w:w="2880"/>
          </w:tcPr>
          <w:p>
            <w:r>
              <w:t>实质性 Substantive</w:t>
            </w:r>
          </w:p>
        </w:tc>
        <w:tc>
          <w:tcPr>
            <w:tcW w:type="dxa" w:w="2880"/>
          </w:tcPr>
          <w:p>
            <w:r>
              <w:t>缺失值</w:t>
            </w:r>
          </w:p>
        </w:tc>
        <w:tc>
          <w:tcPr>
            <w:tcW w:type="dxa" w:w="2880"/>
          </w:tcPr>
          <w:p>
            <w:r>
              <w:t>扭曲平均值等统计</w:t>
            </w:r>
          </w:p>
        </w:tc>
      </w:tr>
      <w:tr>
        <w:tc>
          <w:tcPr>
            <w:tcW w:type="dxa" w:w="2880"/>
          </w:tcPr>
          <w:p>
            <w:r>
              <w:t>实质性 Substantive</w:t>
            </w:r>
          </w:p>
        </w:tc>
        <w:tc>
          <w:tcPr>
            <w:tcW w:type="dxa" w:w="2880"/>
          </w:tcPr>
          <w:p>
            <w:r>
              <w:t>错误标注（如 U18 放进 U23）</w:t>
            </w:r>
          </w:p>
        </w:tc>
        <w:tc>
          <w:tcPr>
            <w:tcW w:type="dxa" w:w="2880"/>
          </w:tcPr>
          <w:p>
            <w:r>
              <w:t>赛季末错误对比，影响球员去留判断</w:t>
            </w:r>
          </w:p>
        </w:tc>
      </w:tr>
      <w:tr>
        <w:tc>
          <w:tcPr>
            <w:tcW w:type="dxa" w:w="2880"/>
          </w:tcPr>
          <w:p>
            <w:r>
              <w:t>实质性 Substantive</w:t>
            </w:r>
          </w:p>
        </w:tc>
        <w:tc>
          <w:tcPr>
            <w:tcW w:type="dxa" w:w="2880"/>
          </w:tcPr>
          <w:p>
            <w:r>
              <w:t>采集偏差（问卷只发好评者）</w:t>
            </w:r>
          </w:p>
        </w:tc>
        <w:tc>
          <w:tcPr>
            <w:tcW w:type="dxa" w:w="2880"/>
          </w:tcPr>
          <w:p>
            <w:r>
              <w:t>调查结果整体失真</w:t>
            </w:r>
          </w:p>
        </w:tc>
      </w:tr>
    </w:tbl>
    <w:p>
      <w:r>
        <w:rPr>
          <w:b w:val="0"/>
        </w:rPr>
      </w:r>
    </w:p>
    <w:p>
      <w:r>
        <w:rPr>
          <w:b/>
        </w:rPr>
        <w:t>核心思想：很多人以为数据只有「对/错/缺失」三种状态，但数据本身自带测量误差，存在一块模糊临界区间（marginal zone）。在临界区间内不能盲信数字，需预设规则、保留人为判断。</w:t>
      </w:r>
    </w:p>
    <w:p>
      <w:pPr>
        <w:pStyle w:val="Heading2"/>
      </w:pPr>
      <w:r>
        <w:t>4.1 非随机缺失（MNAR）——本课重点</w:t>
      </w:r>
    </w:p>
    <w:p>
      <w:r>
        <w:rPr>
          <w:b/>
        </w:rPr>
        <w:t>体育数据里的缺失，大多不是随机丢掉（Missing Not At Random）。空白本身就带信息，直接删行或简单填充必然带来偏差。</w:t>
      </w:r>
    </w:p>
    <w:p>
      <w:r>
        <w:rPr>
          <w:b w:val="0"/>
        </w:rPr>
        <w:t>四类典型缺失来源：</w:t>
      </w:r>
    </w:p>
    <w:p>
      <w:pPr>
        <w:pStyle w:val="ListBullet"/>
      </w:pPr>
      <w:r>
        <w:t>GPS 信号丢失：设备常在激烈对抗、换人阶段断开；忽略会扭曲运动负荷（load）结论</w:t>
      </w:r>
    </w:p>
    <w:p>
      <w:pPr>
        <w:pStyle w:val="ListBullet"/>
      </w:pPr>
      <w:r>
        <w:t>主观评分偏差：球探只写表现突出的报告，很少记录平淡比赛，会扭曲「平均水平球员」的评估</w:t>
      </w:r>
    </w:p>
    <w:p>
      <w:pPr>
        <w:pStyle w:val="ListBullet"/>
      </w:pPr>
      <w:r>
        <w:t>服务商定义不一致：A 商的「关键传球」= B 商的「助攻机会」；表面缺失、实为定义不统一</w:t>
      </w:r>
    </w:p>
    <w:p>
      <w:pPr>
        <w:pStyle w:val="ListBullet"/>
      </w:pPr>
      <w:r>
        <w:t>现场散客采集不全：售票系统记录预售好，但 walk-up、贵宾接待记录不完善，扭曲到场收入模型</w:t>
      </w:r>
    </w:p>
    <w:p>
      <w:pPr>
        <w:pStyle w:val="Heading2"/>
      </w:pPr>
      <w:r>
        <w:t>4.2 案例：板球 DRS 边际区与误差率</w:t>
      </w:r>
    </w:p>
    <w:p>
      <w:pPr>
        <w:pStyle w:val="ListBullet"/>
      </w:pPr>
      <w:r>
        <w:t>ICC 引入技术后设立「边际区」（marginal zone）：球路追踪预测误差在 1%–50% 区间时，维持场上裁判原判</w:t>
      </w:r>
    </w:p>
    <w:p>
      <w:pPr>
        <w:pStyle w:val="ListBullet"/>
      </w:pPr>
      <w:r>
        <w:t>DRS 使用球路追踪预测是否击中打者，不确定时交由场上裁判决定（Umpire's Call）</w:t>
      </w:r>
    </w:p>
    <w:p>
      <w:pPr>
        <w:pStyle w:val="ListBullet"/>
      </w:pPr>
      <w:r>
        <w:t>有讨论是否将机制引入英超 VAR；学员观点：板球发生在小空间，足球场地大、裁判视角有限、摄像机多看得更清，VAR 应维持原判而非照搬</w:t>
      </w:r>
    </w:p>
    <w:p>
      <w:pPr>
        <w:pStyle w:val="ListBullet"/>
      </w:pPr>
      <w:r>
        <w:t>核心启示：了解数据集的真实边际误差，汇报时必须清楚说明误差范围；「数字本身不会讲故事」，分析师需凭经验与知识库增强数据叙事</w:t>
      </w:r>
    </w:p>
    <w:p>
      <w:pPr>
        <w:pStyle w:val="Heading2"/>
      </w:pPr>
      <w:r>
        <w:t>4.3 更多数据质量问题案例</w:t>
      </w:r>
    </w:p>
    <w:p>
      <w:pPr>
        <w:pStyle w:val="ListBullet"/>
      </w:pPr>
      <w:r>
        <w:t>Lidar 技术（原军事雷达）在阴影区表现差，南安普顿约 70% 比赛缺失长达 20 分钟数据</w:t>
      </w:r>
    </w:p>
    <w:p>
      <w:pPr>
        <w:pStyle w:val="ListBullet"/>
      </w:pPr>
      <w:r>
        <w:t>GPS 在室内运动表现不佳，需改用其他技术</w:t>
      </w:r>
    </w:p>
    <w:p>
      <w:pPr>
        <w:pStyle w:val="ListBullet"/>
      </w:pPr>
      <w:r>
        <w:t>球探主观评分偏差：同一球员可被打 5 分或 2 分，需建立可靠评分流程</w:t>
      </w:r>
    </w:p>
    <w:p>
      <w:pPr>
        <w:pStyle w:val="ListBullet"/>
      </w:pPr>
      <w:r>
        <w:t>同名球员需靠出生日期区分（圣徒队曾有 U21 与 U14 两名同名门将）</w:t>
      </w:r>
    </w:p>
    <w:p>
      <w:pPr>
        <w:pStyle w:val="Heading1"/>
      </w:pPr>
      <w:r>
        <w:t>五、数据团队角色（The Data Team）</w:t>
      </w:r>
    </w:p>
    <w:p>
      <w:r>
        <w:rPr>
          <w:b w:val="0"/>
        </w:rPr>
        <w:t>「数据团队」通常不是单一岗位，而是多个角色、各有不同激励与职责。理解每个角色负责什么问题，是实用且可就业的技能。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实际工作</w:t>
            </w:r>
          </w:p>
        </w:tc>
        <w:tc>
          <w:tcPr>
            <w:tcW w:type="dxa" w:w="2880"/>
          </w:tcPr>
          <w:p>
            <w:r>
              <w:t>缺失/不清时的后果</w:t>
            </w:r>
          </w:p>
        </w:tc>
      </w:tr>
      <w:tr>
        <w:tc>
          <w:tcPr>
            <w:tcW w:type="dxa" w:w="2880"/>
          </w:tcPr>
          <w:p>
            <w:r>
              <w:t>Data engineer 数据工程师</w:t>
            </w:r>
          </w:p>
        </w:tc>
        <w:tc>
          <w:tcPr>
            <w:tcW w:type="dxa" w:w="2880"/>
          </w:tcPr>
          <w:p>
            <w:r>
              <w:t>搭建维护数据管道，把源系统数据处理成可用形式</w:t>
            </w:r>
          </w:p>
        </w:tc>
        <w:tc>
          <w:tcPr>
            <w:tcW w:type="dxa" w:w="2880"/>
          </w:tcPr>
          <w:p>
            <w:r>
              <w:t>下游所有人拿到错误/延迟数据且不知根源</w:t>
            </w:r>
          </w:p>
        </w:tc>
      </w:tr>
      <w:tr>
        <w:tc>
          <w:tcPr>
            <w:tcW w:type="dxa" w:w="2880"/>
          </w:tcPr>
          <w:p>
            <w:r>
              <w:t>Analyst 分析师</w:t>
            </w:r>
          </w:p>
        </w:tc>
        <w:tc>
          <w:tcPr>
            <w:tcW w:type="dxa" w:w="2880"/>
          </w:tcPr>
          <w:p>
            <w:r>
              <w:t>用现有数据就具体问题给出贴近决策者的明确结论</w:t>
            </w:r>
          </w:p>
        </w:tc>
        <w:tc>
          <w:tcPr>
            <w:tcW w:type="dxa" w:w="2880"/>
          </w:tcPr>
          <w:p>
            <w:r>
              <w:t>技术再好，但问错问题或成果到不了决策者</w:t>
            </w:r>
          </w:p>
        </w:tc>
      </w:tr>
      <w:tr>
        <w:tc>
          <w:tcPr>
            <w:tcW w:type="dxa" w:w="2880"/>
          </w:tcPr>
          <w:p>
            <w:r>
              <w:t>Data scientist 数据科学家</w:t>
            </w:r>
          </w:p>
        </w:tc>
        <w:tc>
          <w:tcPr>
            <w:tcW w:type="dxa" w:w="2880"/>
          </w:tcPr>
          <w:p>
            <w:r>
              <w:t>构建预测/统计模型，偏研究型</w:t>
            </w:r>
          </w:p>
        </w:tc>
        <w:tc>
          <w:tcPr>
            <w:tcW w:type="dxa" w:w="2880"/>
          </w:tcPr>
          <w:p>
            <w:r>
              <w:t>建出没人用的模型；简单问题被过度复杂化</w:t>
            </w:r>
          </w:p>
        </w:tc>
      </w:tr>
      <w:tr>
        <w:tc>
          <w:tcPr>
            <w:tcW w:type="dxa" w:w="2880"/>
          </w:tcPr>
          <w:p>
            <w:r>
              <w:t>Performance analyst 表现分析师</w:t>
            </w:r>
          </w:p>
        </w:tc>
        <w:tc>
          <w:tcPr>
            <w:tcW w:type="dxa" w:w="2880"/>
          </w:tcPr>
          <w:p>
            <w:r>
              <w:t>体育专项，把赛场观察+数据转化为教练可用洞见</w:t>
            </w:r>
          </w:p>
        </w:tc>
        <w:tc>
          <w:tcPr>
            <w:tcW w:type="dxa" w:w="2880"/>
          </w:tcPr>
          <w:p>
            <w:r>
              <w:t>数据结论与教练认知断层，教练不信任不采纳</w:t>
            </w:r>
          </w:p>
        </w:tc>
      </w:tr>
      <w:tr>
        <w:tc>
          <w:tcPr>
            <w:tcW w:type="dxa" w:w="2880"/>
          </w:tcPr>
          <w:p>
            <w:r>
              <w:t>Commercial/business analyst 商业分析师</w:t>
            </w:r>
          </w:p>
        </w:tc>
        <w:tc>
          <w:tcPr>
            <w:tcW w:type="dxa" w:w="2880"/>
          </w:tcPr>
          <w:p>
            <w:r>
              <w:t>票务/赞助/媒体数据 → 收入与受众洞察</w:t>
            </w:r>
          </w:p>
        </w:tc>
        <w:tc>
          <w:tcPr>
            <w:tcW w:type="dxa" w:w="2880"/>
          </w:tcPr>
          <w:p>
            <w:r>
              <w:t>定价/营销靠主观感觉而非已有数据</w:t>
            </w:r>
          </w:p>
        </w:tc>
      </w:tr>
      <w:tr>
        <w:tc>
          <w:tcPr>
            <w:tcW w:type="dxa" w:w="2880"/>
          </w:tcPr>
          <w:p>
            <w:r>
              <w:t>IT/infrastructure 基础设施</w:t>
            </w:r>
          </w:p>
        </w:tc>
        <w:tc>
          <w:tcPr>
            <w:tcW w:type="dxa" w:w="2880"/>
          </w:tcPr>
          <w:p>
            <w:r>
              <w:t>系统、安全、权限，其他角色都依赖它</w:t>
            </w:r>
          </w:p>
        </w:tc>
        <w:tc>
          <w:tcPr>
            <w:tcW w:type="dxa" w:w="2880"/>
          </w:tcPr>
          <w:p>
            <w:r>
              <w:t>平时无人关注，出事即数据丢失/权限纠纷/合规事故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补充要点：</w:t>
      </w:r>
    </w:p>
    <w:p>
      <w:pPr>
        <w:pStyle w:val="ListBullet"/>
      </w:pPr>
      <w:r>
        <w:t>数据科学家偏研究型；阿斯顿维拉近 18 个月招聘 3 名研究型数据科学家（覆盖男女一线队+青训）</w:t>
      </w:r>
    </w:p>
    <w:p>
      <w:pPr>
        <w:pStyle w:val="ListBullet"/>
      </w:pPr>
      <w:r>
        <w:t>表现分析师常与主教练绑定，教练离任时可能随之离开；保留其他核心成员可保证连续性</w:t>
      </w:r>
    </w:p>
    <w:p>
      <w:pPr>
        <w:pStyle w:val="ListBullet"/>
      </w:pPr>
      <w:r>
        <w:t>南安普顿 IT 架构范例：2 名数据工程师服务足球业务、2 名服务商业业务，职责与对接人清晰</w:t>
      </w:r>
    </w:p>
    <w:p>
      <w:pPr>
        <w:pStyle w:val="ListBullet"/>
      </w:pPr>
      <w:r>
        <w:t>2024 年 Lolli et al. 研究调查 32 支职业俱乐部 + 29 个国家足协：分析部门预算常相对不足，可用「球员预算的 0.1%」类比说服高层拨款</w:t>
      </w:r>
    </w:p>
    <w:p>
      <w:pPr>
        <w:pStyle w:val="ListBullet"/>
      </w:pPr>
      <w:r>
        <w:t>体育行业预算紧张，能身兼多职（wear multiple hats）会让自己成为有价值资产</w:t>
      </w:r>
    </w:p>
    <w:p>
      <w:pPr>
        <w:pStyle w:val="Heading1"/>
      </w:pPr>
      <w:r>
        <w:t>六、数据归属与治理（Data Ownership &amp; Governance）</w:t>
      </w:r>
    </w:p>
    <w:p>
      <w:r>
        <w:rPr>
          <w:b w:val="0"/>
        </w:rPr>
        <w:t>球员身体产生的可穿戴数据归属谁？这是一个贯穿多个体育项目的活问题。</w:t>
      </w:r>
    </w:p>
    <w:p>
      <w:pPr>
        <w:pStyle w:val="Heading2"/>
      </w:pPr>
      <w:r>
        <w:t>6.1 NBA 可穿戴数据条款（2017 劳资协议 CBA）</w:t>
      </w:r>
    </w:p>
    <w:p>
      <w:pPr>
        <w:pStyle w:val="ListBullet"/>
      </w:pPr>
      <w:r>
        <w:t>2017 年 NBA 与球员工会（NBPA）在劳资协议中解禁可穿戴设备，但仅限用于球员健康、表现、场上战术</w:t>
      </w:r>
    </w:p>
    <w:p>
      <w:pPr>
        <w:pStyle w:val="ListBullet"/>
      </w:pPr>
      <w:r>
        <w:t>禁止将可穿戴数据用于合同谈判、交易、裁员；违规球队最高罚款 1400 万美元</w:t>
      </w:r>
    </w:p>
    <w:p>
      <w:pPr>
        <w:pStyle w:val="ListBullet"/>
      </w:pPr>
      <w:r>
        <w:t>所有可穿戴设备须通过安全验证与网络安全审批</w:t>
      </w:r>
    </w:p>
    <w:p>
      <w:pPr>
        <w:pStyle w:val="Heading2"/>
      </w:pPr>
      <w:r>
        <w:t>6.2 BHB v William Hill（赛马数据版权案）</w:t>
      </w:r>
    </w:p>
    <w:p>
      <w:pPr>
        <w:pStyle w:val="ListBullet"/>
      </w:pPr>
      <w:r>
        <w:t>英国赛马协会（BHB）投入大量成本编制赛前数据并授权使用；William Hill 未经直接授权使用该数据</w:t>
      </w:r>
    </w:p>
    <w:p>
      <w:pPr>
        <w:pStyle w:val="ListBullet"/>
      </w:pPr>
      <w:r>
        <w:t>2004 年法院判 William Hill 胜诉：数据库权利仅保护「收集既有材料的投入」，不保护「创造材料的投入」</w:t>
      </w:r>
    </w:p>
    <w:p>
      <w:pPr>
        <w:pStyle w:val="ListBullet"/>
      </w:pPr>
      <w:r>
        <w:t>BHB 的核心投入是举办赛事本身产生数据，而非独立收集数据，因此不受数据库权利保护</w:t>
      </w:r>
    </w:p>
    <w:p>
      <w:pPr>
        <w:pStyle w:val="ListBullet"/>
      </w:pPr>
      <w:r>
        <w:t>该判例促使 Statscom 等数据公司设置公平使用条款</w:t>
      </w:r>
    </w:p>
    <w:p>
      <w:pPr>
        <w:pStyle w:val="Heading2"/>
      </w:pPr>
      <w:r>
        <w:t>6.3 四方归属争议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主体</w:t>
            </w:r>
          </w:p>
        </w:tc>
        <w:tc>
          <w:tcPr>
            <w:tcW w:type="dxa" w:w="4320"/>
          </w:tcPr>
          <w:p>
            <w:r>
              <w:t>主张依据</w:t>
            </w:r>
          </w:p>
        </w:tc>
      </w:tr>
      <w:tr>
        <w:tc>
          <w:tcPr>
            <w:tcW w:type="dxa" w:w="4320"/>
          </w:tcPr>
          <w:p>
            <w:r>
              <w:t>运动员 Athlete</w:t>
            </w:r>
          </w:p>
        </w:tc>
        <w:tc>
          <w:tcPr>
            <w:tcW w:type="dxa" w:w="4320"/>
          </w:tcPr>
          <w:p>
            <w:r>
              <w:t>数据来自自身身体；多数司法辖区生物数据属更受保护类别（UK 适用 UK GDPR）</w:t>
            </w:r>
          </w:p>
        </w:tc>
      </w:tr>
      <w:tr>
        <w:tc>
          <w:tcPr>
            <w:tcW w:type="dxa" w:w="4320"/>
          </w:tcPr>
          <w:p>
            <w:r>
              <w:t>俱乐部 Club</w:t>
            </w:r>
          </w:p>
        </w:tc>
        <w:tc>
          <w:tcPr>
            <w:tcW w:type="dxa" w:w="4320"/>
          </w:tcPr>
          <w:p>
            <w:r>
              <w:t>付了设备费、雇佣运动员、用数据做选材/训练/医疗决策</w:t>
            </w:r>
          </w:p>
        </w:tc>
      </w:tr>
      <w:tr>
        <w:tc>
          <w:tcPr>
            <w:tcW w:type="dxa" w:w="4320"/>
          </w:tcPr>
          <w:p>
            <w:r>
              <w:t>供应商 Vendor</w:t>
            </w:r>
          </w:p>
        </w:tc>
        <w:tc>
          <w:tcPr>
            <w:tcW w:type="dxa" w:w="4320"/>
          </w:tcPr>
          <w:p>
            <w:r>
              <w:t>构建了采集处理系统，掌握底层技术设施与 IP</w:t>
            </w:r>
          </w:p>
        </w:tc>
      </w:tr>
      <w:tr>
        <w:tc>
          <w:tcPr>
            <w:tcW w:type="dxa" w:w="4320"/>
          </w:tcPr>
          <w:p>
            <w:r>
              <w:t>联盟/管理机构</w:t>
            </w:r>
          </w:p>
        </w:tc>
        <w:tc>
          <w:tcPr>
            <w:tcW w:type="dxa" w:w="4320"/>
          </w:tcPr>
          <w:p>
            <w:r>
              <w:t>制定规则；有时由法院裁决，有时协商（如 NBA–NBPA 案）</w:t>
            </w:r>
          </w:p>
        </w:tc>
      </w:tr>
    </w:tbl>
    <w:p>
      <w:r>
        <w:rPr>
          <w:b w:val="0"/>
        </w:rPr>
      </w:r>
    </w:p>
    <w:p>
      <w:pPr>
        <w:pStyle w:val="ListBullet"/>
      </w:pPr>
      <w:r>
        <w:t>板球领域倾向数据归球员：Inside 360 被设计为「球员的数据护照」；Breakaway Data 以「运动员拥有数据」为商业模式</w:t>
      </w:r>
    </w:p>
    <w:p>
      <w:pPr>
        <w:pStyle w:val="ListBullet"/>
      </w:pPr>
      <w:r>
        <w:t>现场调查：约 73% 学生主张先与运动员及学生组织沟通确认</w:t>
      </w:r>
    </w:p>
    <w:p>
      <w:pPr>
        <w:pStyle w:val="ListBullet"/>
      </w:pPr>
      <w:r>
        <w:t>球员转会后数据流动性强，可随身带走</w:t>
      </w:r>
    </w:p>
    <w:p>
      <w:pPr>
        <w:pStyle w:val="Heading2"/>
      </w:pPr>
      <w:r>
        <w:t>6.4 Strava 匿名数据泄露案例</w:t>
      </w:r>
    </w:p>
    <w:p>
      <w:pPr>
        <w:pStyle w:val="ListBullet"/>
      </w:pPr>
      <w:r>
        <w:t>2017 年 11 月 Strava 发布基于约 10 亿条匿名运动数据的热力图</w:t>
      </w:r>
    </w:p>
    <w:p>
      <w:pPr>
        <w:pStyle w:val="ListBullet"/>
      </w:pPr>
      <w:r>
        <w:t>2018 年 1 月，一名 20 岁学生据此定位出秘密军事基地（含撒哈拉、叙利亚偏远军事设施）</w:t>
      </w:r>
    </w:p>
    <w:p>
      <w:pPr>
        <w:pStyle w:val="ListBullet"/>
      </w:pPr>
      <w:r>
        <w:t>Strava 以「用户已 opt-in」及隐私设置为自己辩护</w:t>
      </w:r>
    </w:p>
    <w:p>
      <w:pPr>
        <w:pStyle w:val="ListBullet"/>
      </w:pPr>
      <w:r>
        <w:t>启示：匿名数据可被重新识别（人类行为有固定习惯），隐私条款冗长多数人跳过不读</w:t>
      </w:r>
    </w:p>
    <w:p>
      <w:pPr>
        <w:pStyle w:val="Heading1"/>
      </w:pPr>
      <w:r>
        <w:t>七、商业案例：智能手表赞助与球员数据</w:t>
      </w:r>
    </w:p>
    <w:p>
      <w:pPr>
        <w:pStyle w:val="Heading2"/>
      </w:pPr>
      <w:r>
        <w:t>7.1 案例背景</w:t>
      </w:r>
    </w:p>
    <w:p>
      <w:r>
        <w:rPr>
          <w:b w:val="0"/>
        </w:rPr>
        <w:t>League One 小球会 Meerside United 的 19 岁新星边锋 Callum Reyes 成为某可穿戴品牌代言目标，报价 200 万英镑。品牌方附加两项条件：</w:t>
      </w:r>
    </w:p>
    <w:p>
      <w:pPr>
        <w:pStyle w:val="ListBullet"/>
      </w:pPr>
      <w:r>
        <w:t>获得 Callum 真实训练负荷与跑动覆盖数据的营销使用权</w:t>
      </w:r>
    </w:p>
    <w:p>
      <w:pPr>
        <w:pStyle w:val="ListBullet"/>
      </w:pPr>
      <w:r>
        <w:t>提前获取医疗团队复出时间数据，以规划发布活动</w:t>
      </w:r>
    </w:p>
    <w:p>
      <w:pPr>
        <w:pStyle w:val="ListBullet"/>
      </w:pPr>
      <w:r>
        <w:t>医疗团队预测其未来受伤风险升高，但商业部门看不到这份数据——谁有权决定？</w:t>
      </w:r>
    </w:p>
    <w:p>
      <w:pPr>
        <w:pStyle w:val="Heading2"/>
      </w:pPr>
      <w:r>
        <w:t>7.2 各组立场汇总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立场</w:t>
            </w:r>
          </w:p>
        </w:tc>
        <w:tc>
          <w:tcPr>
            <w:tcW w:type="dxa" w:w="2880"/>
          </w:tcPr>
          <w:p>
            <w:r>
              <w:t>核心考虑</w:t>
            </w:r>
          </w:p>
        </w:tc>
        <w:tc>
          <w:tcPr>
            <w:tcW w:type="dxa" w:w="2880"/>
          </w:tcPr>
          <w:p>
            <w:r>
              <w:t>结论</w:t>
            </w:r>
          </w:p>
        </w:tc>
      </w:tr>
      <w:tr>
        <w:tc>
          <w:tcPr>
            <w:tcW w:type="dxa" w:w="2880"/>
          </w:tcPr>
          <w:p>
            <w:r>
              <w:t>商业视角组</w:t>
            </w:r>
          </w:p>
        </w:tc>
        <w:tc>
          <w:tcPr>
            <w:tcW w:type="dxa" w:w="2880"/>
          </w:tcPr>
          <w:p>
            <w:r>
              <w:t>数据差会压低身价，风险不值得</w:t>
            </w:r>
          </w:p>
        </w:tc>
        <w:tc>
          <w:tcPr>
            <w:tcW w:type="dxa" w:w="2880"/>
          </w:tcPr>
          <w:p>
            <w:r>
              <w:t>不接受</w:t>
            </w:r>
          </w:p>
        </w:tc>
      </w:tr>
      <w:tr>
        <w:tc>
          <w:tcPr>
            <w:tcW w:type="dxa" w:w="2880"/>
          </w:tcPr>
          <w:p>
            <w:r>
              <w:t>表现视角组（一）</w:t>
            </w:r>
          </w:p>
        </w:tc>
        <w:tc>
          <w:tcPr>
            <w:tcW w:type="dxa" w:w="2880"/>
          </w:tcPr>
          <w:p>
            <w:r>
              <w:t>数据不准确，需法务+医疗同意</w:t>
            </w:r>
          </w:p>
        </w:tc>
        <w:tc>
          <w:tcPr>
            <w:tcW w:type="dxa" w:w="2880"/>
          </w:tcPr>
          <w:p>
            <w:r>
              <w:t>有条件接受</w:t>
            </w:r>
          </w:p>
        </w:tc>
      </w:tr>
      <w:tr>
        <w:tc>
          <w:tcPr>
            <w:tcW w:type="dxa" w:w="2880"/>
          </w:tcPr>
          <w:p>
            <w:r>
              <w:t>表现视角组（二）</w:t>
            </w:r>
          </w:p>
        </w:tc>
        <w:tc>
          <w:tcPr>
            <w:tcW w:type="dxa" w:w="2880"/>
          </w:tcPr>
          <w:p>
            <w:r>
              <w:t>信息不足，恐损害 Callum 未来</w:t>
            </w:r>
          </w:p>
        </w:tc>
        <w:tc>
          <w:tcPr>
            <w:tcW w:type="dxa" w:w="2880"/>
          </w:tcPr>
          <w:p>
            <w:r>
              <w:t>不接受</w:t>
            </w:r>
          </w:p>
        </w:tc>
      </w:tr>
      <w:tr>
        <w:tc>
          <w:tcPr>
            <w:tcW w:type="dxa" w:w="2880"/>
          </w:tcPr>
          <w:p>
            <w:r>
              <w:t>折中组</w:t>
            </w:r>
          </w:p>
        </w:tc>
        <w:tc>
          <w:tcPr>
            <w:tcW w:type="dxa" w:w="2880"/>
          </w:tcPr>
          <w:p>
            <w:r>
              <w:t>延迟营销至康复，用伤病历程做故事线</w:t>
            </w:r>
          </w:p>
        </w:tc>
        <w:tc>
          <w:tcPr>
            <w:tcW w:type="dxa" w:w="2880"/>
          </w:tcPr>
          <w:p>
            <w:r>
              <w:t>有条件接受</w:t>
            </w:r>
          </w:p>
        </w:tc>
      </w:tr>
      <w:tr>
        <w:tc>
          <w:tcPr>
            <w:tcW w:type="dxa" w:w="2880"/>
          </w:tcPr>
          <w:p>
            <w:r>
              <w:t>拆分处理组</w:t>
            </w:r>
          </w:p>
        </w:tc>
        <w:tc>
          <w:tcPr>
            <w:tcW w:type="dxa" w:w="2880"/>
          </w:tcPr>
          <w:p>
            <w:r>
              <w:t>接受营销数据、拒绝医疗数据</w:t>
            </w:r>
          </w:p>
        </w:tc>
        <w:tc>
          <w:tcPr>
            <w:tcW w:type="dxa" w:w="2880"/>
          </w:tcPr>
          <w:p>
            <w:r>
              <w:t>部分接受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7.3 关键论点（正反）</w:t>
      </w:r>
    </w:p>
    <w:p>
      <w:r>
        <w:rPr>
          <w:b/>
        </w:rPr>
        <w:t>接受/有条件接受的理由：</w:t>
      </w:r>
    </w:p>
    <w:p>
      <w:pPr>
        <w:pStyle w:val="ListBullet"/>
      </w:pPr>
      <w:r>
        <w:t>200 万英镑对英甲俱乐部史无前例，可再投资+未来商业机会</w:t>
      </w:r>
    </w:p>
    <w:p>
      <w:pPr>
        <w:pStyle w:val="ListBullet"/>
      </w:pPr>
      <w:r>
        <w:t>球员数据表现好会提升市场价值，利于日后高价出售</w:t>
      </w:r>
    </w:p>
    <w:p>
      <w:pPr>
        <w:pStyle w:val="ListBullet"/>
      </w:pPr>
      <w:r>
        <w:t>可反向谈判提高赞助金额（如要求 800 万英镑）</w:t>
      </w:r>
    </w:p>
    <w:p>
      <w:pPr>
        <w:pStyle w:val="ListBullet"/>
      </w:pPr>
      <w:r>
        <w:t>可拆开处理：公开匿名负荷/恢复数据做商业故事，不公开伤病/医疗/隐私数据</w:t>
      </w:r>
    </w:p>
    <w:p>
      <w:pPr>
        <w:pStyle w:val="ListBullet"/>
      </w:pPr>
      <w:r>
        <w:t>合同兜底：拍摄后赛中受伤立即终止合同、免违约金</w:t>
      </w:r>
    </w:p>
    <w:p>
      <w:r>
        <w:rPr>
          <w:b/>
        </w:rPr>
        <w:t>拒绝/谨慎的理由：</w:t>
      </w:r>
    </w:p>
    <w:p>
      <w:pPr>
        <w:pStyle w:val="ListBullet"/>
      </w:pPr>
      <w:r>
        <w:t>球员是「人」而非「资产」，运动表现部门应对涉及数据的赞助有最终决定权</w:t>
      </w:r>
    </w:p>
    <w:p>
      <w:pPr>
        <w:pStyle w:val="ListBullet"/>
      </w:pPr>
      <w:r>
        <w:t>200 万英镑 vs 潜在伤病成本：品牌方复出时间表会给球员施压，数据停滞时强行复出增加再伤风险</w:t>
      </w:r>
    </w:p>
    <w:p>
      <w:pPr>
        <w:pStyle w:val="ListBullet"/>
      </w:pPr>
      <w:r>
        <w:t>19 岁球员爆发赛季，商业压力导致伤病可能毁掉整个职业生涯</w:t>
      </w:r>
    </w:p>
    <w:p>
      <w:pPr>
        <w:pStyle w:val="ListBullet"/>
      </w:pPr>
      <w:r>
        <w:t>公开医疗/表现数据会暗示慢性伤病、影响其他俱乐部选择、让对手预判出场</w:t>
      </w:r>
    </w:p>
    <w:p>
      <w:pPr>
        <w:pStyle w:val="ListBullet"/>
      </w:pPr>
      <w:r>
        <w:t>共享数据形成先例，影响未来球员加盟意愿</w:t>
      </w:r>
    </w:p>
    <w:p>
      <w:pPr>
        <w:pStyle w:val="ListBullet"/>
      </w:pPr>
      <w:r>
        <w:t>需确认测量设备准确性、是否依赖 Callum、数据呈现方式——当前信息不足</w:t>
      </w:r>
    </w:p>
    <w:p>
      <w:r>
        <w:rPr>
          <w:b/>
        </w:rPr>
        <w:t>讲师建议：面对「周五前必须答复」的压力，用 3000 英尺/300 英尺/30 英尺分层颗粒度拆解决策。</w:t>
      </w:r>
    </w:p>
    <w:p>
      <w:pPr>
        <w:pStyle w:val="Heading1"/>
      </w:pPr>
      <w:r>
        <w:t>八、三条要点（下次课前记住）</w:t>
      </w:r>
    </w:p>
    <w:p>
      <w:r>
        <w:rPr>
          <w:b/>
        </w:rPr>
        <w:t>1. Tidy data（一行=一个观测、一列=一个变量）是一切的基础。垃圾进垃圾出（crap in, crap out）——把表格弄干净，并关注数据来源与采集方式。</w:t>
      </w:r>
    </w:p>
    <w:p>
      <w:r>
        <w:rPr>
          <w:b/>
        </w:rPr>
        <w:t>2. 缺失或混乱的体育数据很少是随机的，通常反映了数据是如何/为何被采集的。始终追问「为什么」——有什么东西缺失或未知。</w:t>
      </w:r>
    </w:p>
    <w:p>
      <w:r>
        <w:rPr>
          <w:b/>
        </w:rPr>
        <w:t>3. 「数据团队」不是一个岗位，知道哪个角色负责哪个问题是一项实用、可就业的技能。预算紧张时你往往需要身兼多职。</w:t>
      </w:r>
    </w:p>
    <w:p>
      <w:pPr>
        <w:pStyle w:val="Heading1"/>
      </w:pPr>
      <w:r>
        <w:t>九、课程安排与待办备忘</w:t>
      </w:r>
    </w:p>
    <w:p>
      <w:pPr>
        <w:pStyle w:val="ListBullet"/>
      </w:pPr>
      <w:r>
        <w:t>明天教室改为 017 和 018（楼下），本模块剩余课程不再固定同一教室，需留意课表更新</w:t>
      </w:r>
    </w:p>
    <w:p>
      <w:pPr>
        <w:pStyle w:val="ListBullet"/>
      </w:pPr>
      <w:r>
        <w:t>所有房间/时间表变动/消息通过模块留言板发送，会推送到邮箱</w:t>
      </w:r>
    </w:p>
    <w:p>
      <w:pPr>
        <w:pStyle w:val="ListBullet"/>
      </w:pPr>
      <w:r>
        <w:t>课时注意：个人课表可能仍显示旧教室 N103</w:t>
      </w:r>
    </w:p>
    <w:p>
      <w:pPr>
        <w:pStyle w:val="ListBullet"/>
      </w:pPr>
      <w:r>
        <w:t>待办：课前熟悉数据类型（定类/定序/连续/时间序列），下周将动手处理数据</w:t>
      </w:r>
    </w:p>
    <w:p>
      <w:pPr>
        <w:pStyle w:val="ListBullet"/>
      </w:pPr>
      <w:r>
        <w:t>下次课（Session 3）：同一数据集下两人得出不同结论（Same Data, Different Questions）</w:t>
      </w:r>
    </w:p>
    <w:p>
      <w:r>
        <w:rPr>
          <w:b w:val="0"/>
        </w:rPr>
      </w:r>
    </w:p>
    <w:p>
      <w:r>
        <w:rPr>
          <w:b w:val="0"/>
        </w:rPr>
        <w:t>—— 龙虾 整理 · 2026年10月1日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