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Регламент закупок товаров и услуг</w:t>
      </w:r>
    </w:p>
    <w:p>
      <w:pPr>
        <w:pStyle w:val="Heading2"/>
      </w:pPr>
      <w:r>
        <w:t>1. Пороговые значения</w:t>
      </w:r>
    </w:p>
    <w:p>
      <w:r>
        <w:t>Закупки на сумму до 100 000 рублей выполняются инициатором самостоятельно без конкурентной процедуры. Требуется только согласование непосредственного руководителя.</w:t>
      </w:r>
    </w:p>
    <w:p>
      <w:r>
        <w:t>Закупки на сумму от 100 000 до 1 000 000 рублей требуют сбора не менее трёх коммерческих предложений и согласования с отделом закупок.</w:t>
      </w:r>
    </w:p>
    <w:p>
      <w:r>
        <w:t>Закупки свыше 1 000 000 рублей проводятся через тендерную процедуру с участием закупочной комиссии. Срок проведения тендера — не менее 15 рабочих дней с момента публикации требований.</w:t>
      </w:r>
    </w:p>
    <w:p>
      <w:pPr>
        <w:pStyle w:val="Heading2"/>
      </w:pPr>
      <w:r>
        <w:t>2. Сроки согласования</w:t>
      </w:r>
    </w:p>
    <w:p>
      <w:r>
        <w:t>Отдел закупок рассматривает заявку в течение 5 рабочих дней. Юридический отдел согласует договор в течение 7 рабочих дней с момента получения полного комплекта документов.</w:t>
      </w:r>
    </w:p>
    <w:p>
      <w:pPr>
        <w:pStyle w:val="Heading2"/>
      </w:pPr>
      <w:r>
        <w:t>3. Лимиты по категориям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Категория</w:t>
            </w:r>
          </w:p>
        </w:tc>
        <w:tc>
          <w:tcPr>
            <w:tcW w:type="dxa" w:w="2880"/>
          </w:tcPr>
          <w:p>
            <w:r>
              <w:t>Лимит без тендера</w:t>
            </w:r>
          </w:p>
        </w:tc>
        <w:tc>
          <w:tcPr>
            <w:tcW w:type="dxa" w:w="2880"/>
          </w:tcPr>
          <w:p>
            <w:r>
              <w:t>Ответственный</w:t>
            </w:r>
          </w:p>
        </w:tc>
      </w:tr>
      <w:tr>
        <w:tc>
          <w:tcPr>
            <w:tcW w:type="dxa" w:w="2880"/>
          </w:tcPr>
          <w:p>
            <w:r>
              <w:t>ИТ-оборудование</w:t>
            </w:r>
          </w:p>
        </w:tc>
        <w:tc>
          <w:tcPr>
            <w:tcW w:type="dxa" w:w="2880"/>
          </w:tcPr>
          <w:p>
            <w:r>
              <w:t>500 000 руб.</w:t>
            </w:r>
          </w:p>
        </w:tc>
        <w:tc>
          <w:tcPr>
            <w:tcW w:type="dxa" w:w="2880"/>
          </w:tcPr>
          <w:p>
            <w:r>
              <w:t>Директор по ИТ</w:t>
            </w:r>
          </w:p>
        </w:tc>
      </w:tr>
      <w:tr>
        <w:tc>
          <w:tcPr>
            <w:tcW w:type="dxa" w:w="2880"/>
          </w:tcPr>
          <w:p>
            <w:r>
              <w:t>Программное обеспечение</w:t>
            </w:r>
          </w:p>
        </w:tc>
        <w:tc>
          <w:tcPr>
            <w:tcW w:type="dxa" w:w="2880"/>
          </w:tcPr>
          <w:p>
            <w:r>
              <w:t>300 000 руб.</w:t>
            </w:r>
          </w:p>
        </w:tc>
        <w:tc>
          <w:tcPr>
            <w:tcW w:type="dxa" w:w="2880"/>
          </w:tcPr>
          <w:p>
            <w:r>
              <w:t>Директор по ИТ</w:t>
            </w:r>
          </w:p>
        </w:tc>
      </w:tr>
      <w:tr>
        <w:tc>
          <w:tcPr>
            <w:tcW w:type="dxa" w:w="2880"/>
          </w:tcPr>
          <w:p>
            <w:r>
              <w:t>Маркетинговые услуги</w:t>
            </w:r>
          </w:p>
        </w:tc>
        <w:tc>
          <w:tcPr>
            <w:tcW w:type="dxa" w:w="2880"/>
          </w:tcPr>
          <w:p>
            <w:r>
              <w:t>700 000 руб.</w:t>
            </w:r>
          </w:p>
        </w:tc>
        <w:tc>
          <w:tcPr>
            <w:tcW w:type="dxa" w:w="2880"/>
          </w:tcPr>
          <w:p>
            <w:r>
              <w:t>Директор по маркетингу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закупок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