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6AE87" w14:textId="78E203E0" w:rsidR="003F6AC2" w:rsidRDefault="003F6AC2" w:rsidP="003F6AC2">
      <w:pPr>
        <w:pStyle w:val="Heading1"/>
        <w:ind w:left="-5"/>
      </w:pPr>
      <w:r>
        <w:t xml:space="preserve">DATA ANALYSIS </w:t>
      </w:r>
    </w:p>
    <w:p w14:paraId="0FC04881" w14:textId="72E99E9C" w:rsidR="003F6AC2" w:rsidRDefault="003F6AC2" w:rsidP="003F6AC2">
      <w:pPr>
        <w:pStyle w:val="Heading1"/>
        <w:ind w:left="-5"/>
      </w:pPr>
      <w:r>
        <w:t xml:space="preserve">Descriptive statistics and Pearson correlation analysis </w:t>
      </w:r>
    </w:p>
    <w:p w14:paraId="5EAA4684" w14:textId="77777777" w:rsidR="003F6AC2" w:rsidRDefault="003F6AC2" w:rsidP="003F6AC2">
      <w:pPr>
        <w:spacing w:line="511" w:lineRule="auto"/>
        <w:ind w:left="-5" w:right="2"/>
      </w:pPr>
      <w:r>
        <w:t xml:space="preserve"> </w:t>
      </w:r>
      <w:r>
        <w:tab/>
        <w:t xml:space="preserve">Table 1 shows the mean and standard deviation of each variable, with a Pearson correlation analysis having been conducted to study the correlation of all variables. As indicated, </w:t>
      </w:r>
      <w:proofErr w:type="spellStart"/>
      <w:r>
        <w:t>PoQ</w:t>
      </w:r>
      <w:proofErr w:type="spellEnd"/>
      <w:r>
        <w:t xml:space="preserve"> is positively correlated with total tenure, relative deprivation, anger, prevention focus and knowledge withholding. relative deprivation is positively correlated with anger, prevention focus, knowledge withholding and silence. Anger is positively correlated with all dependent variables, </w:t>
      </w:r>
    </w:p>
    <w:p w14:paraId="4CD50A82" w14:textId="1F410685" w:rsidR="00C43D5E" w:rsidRDefault="003F6AC2" w:rsidP="003F6AC2">
      <w:pPr>
        <w:ind w:left="-5" w:right="2"/>
      </w:pPr>
      <w:r>
        <w:t xml:space="preserve">i.e. knowledge withholding, silence and negative gossiping. </w:t>
      </w:r>
    </w:p>
    <w:p w14:paraId="1CA3ED2B" w14:textId="5042435A" w:rsidR="00C73CA1" w:rsidRDefault="00C73CA1" w:rsidP="003F6AC2">
      <w:pPr>
        <w:ind w:left="-5" w:right="2"/>
      </w:pPr>
      <w:r>
        <w:t xml:space="preserve">From thee findings it is clear that financial scarcity </w:t>
      </w:r>
      <w:r w:rsidR="00FB1D39">
        <w:t xml:space="preserve">influences presenteeism although not in a very significant way due to the mediation of other factors </w:t>
      </w:r>
    </w:p>
    <w:p w14:paraId="3B522909" w14:textId="77777777" w:rsidR="008879A7" w:rsidRPr="008879A7" w:rsidRDefault="008879A7" w:rsidP="008879A7">
      <w:pPr>
        <w:autoSpaceDE w:val="0"/>
        <w:autoSpaceDN w:val="0"/>
        <w:adjustRightInd w:val="0"/>
        <w:spacing w:after="0" w:line="240" w:lineRule="auto"/>
        <w:rPr>
          <w:rFonts w:ascii="Arial" w:hAnsi="Arial" w:cs="Arial"/>
          <w:b/>
          <w:bCs/>
          <w:color w:val="000000"/>
          <w:sz w:val="26"/>
          <w:szCs w:val="26"/>
        </w:rPr>
      </w:pPr>
    </w:p>
    <w:p w14:paraId="59FD2239" w14:textId="77777777" w:rsidR="008879A7" w:rsidRPr="008879A7" w:rsidRDefault="008879A7" w:rsidP="008879A7">
      <w:pPr>
        <w:autoSpaceDE w:val="0"/>
        <w:autoSpaceDN w:val="0"/>
        <w:adjustRightInd w:val="0"/>
        <w:spacing w:after="0" w:line="240" w:lineRule="auto"/>
        <w:rPr>
          <w:rFonts w:ascii="Arial" w:hAnsi="Arial" w:cs="Arial"/>
          <w:b/>
          <w:bCs/>
          <w:color w:val="000000"/>
          <w:sz w:val="26"/>
          <w:szCs w:val="26"/>
        </w:rPr>
      </w:pPr>
      <w:r w:rsidRPr="008879A7">
        <w:rPr>
          <w:rFonts w:ascii="Arial" w:hAnsi="Arial" w:cs="Arial"/>
          <w:b/>
          <w:bCs/>
          <w:color w:val="000000"/>
          <w:sz w:val="26"/>
          <w:szCs w:val="26"/>
        </w:rPr>
        <w:t>Bayesian Regression</w:t>
      </w:r>
    </w:p>
    <w:p w14:paraId="5F16CA62" w14:textId="77777777" w:rsidR="008879A7" w:rsidRPr="008879A7" w:rsidRDefault="008879A7" w:rsidP="008879A7">
      <w:pPr>
        <w:autoSpaceDE w:val="0"/>
        <w:autoSpaceDN w:val="0"/>
        <w:adjustRightInd w:val="0"/>
        <w:spacing w:after="0" w:line="240" w:lineRule="auto"/>
        <w:rPr>
          <w:rFonts w:ascii="Arial" w:hAnsi="Arial" w:cs="Arial"/>
          <w:color w:val="000000"/>
          <w:sz w:val="26"/>
          <w:szCs w:val="26"/>
        </w:rPr>
      </w:pPr>
    </w:p>
    <w:p w14:paraId="0519C326"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bl>
      <w:tblPr>
        <w:tblW w:w="7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84"/>
        <w:gridCol w:w="1468"/>
        <w:gridCol w:w="1025"/>
        <w:gridCol w:w="1408"/>
        <w:gridCol w:w="1025"/>
        <w:gridCol w:w="1025"/>
      </w:tblGrid>
      <w:tr w:rsidR="008879A7" w:rsidRPr="008879A7" w14:paraId="2EEFA817" w14:textId="77777777">
        <w:tblPrEx>
          <w:tblCellMar>
            <w:top w:w="0" w:type="dxa"/>
            <w:bottom w:w="0" w:type="dxa"/>
          </w:tblCellMar>
        </w:tblPrEx>
        <w:trPr>
          <w:cantSplit/>
        </w:trPr>
        <w:tc>
          <w:tcPr>
            <w:tcW w:w="7231" w:type="dxa"/>
            <w:gridSpan w:val="6"/>
            <w:tcBorders>
              <w:top w:val="nil"/>
              <w:left w:val="nil"/>
              <w:bottom w:val="nil"/>
              <w:right w:val="nil"/>
            </w:tcBorders>
            <w:shd w:val="clear" w:color="auto" w:fill="FFFFFF"/>
            <w:vAlign w:val="center"/>
          </w:tcPr>
          <w:p w14:paraId="48603C21"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010205"/>
              </w:rPr>
            </w:pPr>
            <w:proofErr w:type="spellStart"/>
            <w:r w:rsidRPr="008879A7">
              <w:rPr>
                <w:rFonts w:ascii="Arial" w:hAnsi="Arial" w:cs="Arial"/>
                <w:b/>
                <w:bCs/>
                <w:color w:val="010205"/>
              </w:rPr>
              <w:t>ANOVA</w:t>
            </w:r>
            <w:r w:rsidRPr="008879A7">
              <w:rPr>
                <w:rFonts w:ascii="Arial" w:hAnsi="Arial" w:cs="Arial"/>
                <w:b/>
                <w:bCs/>
                <w:color w:val="010205"/>
                <w:vertAlign w:val="superscript"/>
              </w:rPr>
              <w:t>a,b</w:t>
            </w:r>
            <w:proofErr w:type="spellEnd"/>
          </w:p>
        </w:tc>
      </w:tr>
      <w:tr w:rsidR="008879A7" w:rsidRPr="008879A7" w14:paraId="2507F251" w14:textId="77777777">
        <w:tblPrEx>
          <w:tblCellMar>
            <w:top w:w="0" w:type="dxa"/>
            <w:bottom w:w="0" w:type="dxa"/>
          </w:tblCellMar>
        </w:tblPrEx>
        <w:trPr>
          <w:cantSplit/>
        </w:trPr>
        <w:tc>
          <w:tcPr>
            <w:tcW w:w="1284" w:type="dxa"/>
            <w:tcBorders>
              <w:top w:val="nil"/>
              <w:left w:val="nil"/>
              <w:bottom w:val="single" w:sz="8" w:space="0" w:color="152935"/>
              <w:right w:val="nil"/>
            </w:tcBorders>
            <w:shd w:val="clear" w:color="auto" w:fill="FFFFFF"/>
            <w:vAlign w:val="bottom"/>
          </w:tcPr>
          <w:p w14:paraId="3B1035A0"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Source</w:t>
            </w:r>
          </w:p>
        </w:tc>
        <w:tc>
          <w:tcPr>
            <w:tcW w:w="1468" w:type="dxa"/>
            <w:tcBorders>
              <w:top w:val="nil"/>
              <w:left w:val="nil"/>
              <w:bottom w:val="single" w:sz="8" w:space="0" w:color="152935"/>
              <w:right w:val="single" w:sz="8" w:space="0" w:color="E0E0E0"/>
            </w:tcBorders>
            <w:shd w:val="clear" w:color="auto" w:fill="FFFFFF"/>
            <w:vAlign w:val="bottom"/>
          </w:tcPr>
          <w:p w14:paraId="77E60899"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EE4CEBE"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3ADC1DEC"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Mean Square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2974CAD7"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14:paraId="0096675C"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Sig.</w:t>
            </w:r>
          </w:p>
        </w:tc>
      </w:tr>
      <w:tr w:rsidR="008879A7" w:rsidRPr="008879A7" w14:paraId="32F02DEE" w14:textId="77777777">
        <w:tblPrEx>
          <w:tblCellMar>
            <w:top w:w="0" w:type="dxa"/>
            <w:bottom w:w="0" w:type="dxa"/>
          </w:tblCellMar>
        </w:tblPrEx>
        <w:trPr>
          <w:cantSplit/>
        </w:trPr>
        <w:tc>
          <w:tcPr>
            <w:tcW w:w="1284" w:type="dxa"/>
            <w:tcBorders>
              <w:top w:val="single" w:sz="8" w:space="0" w:color="152935"/>
              <w:left w:val="nil"/>
              <w:bottom w:val="single" w:sz="8" w:space="0" w:color="AEAEAE"/>
              <w:right w:val="nil"/>
            </w:tcBorders>
            <w:shd w:val="clear" w:color="auto" w:fill="E0E0E0"/>
          </w:tcPr>
          <w:p w14:paraId="3CE7C240"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Regression</w:t>
            </w:r>
          </w:p>
        </w:tc>
        <w:tc>
          <w:tcPr>
            <w:tcW w:w="1468" w:type="dxa"/>
            <w:tcBorders>
              <w:top w:val="single" w:sz="8" w:space="0" w:color="152935"/>
              <w:left w:val="nil"/>
              <w:bottom w:val="single" w:sz="8" w:space="0" w:color="AEAEAE"/>
              <w:right w:val="single" w:sz="8" w:space="0" w:color="E0E0E0"/>
            </w:tcBorders>
            <w:shd w:val="clear" w:color="auto" w:fill="FFFFFF"/>
          </w:tcPr>
          <w:p w14:paraId="2213F8C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13.295</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33B3B6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42622A0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.429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4AF3C32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1.560</w:t>
            </w:r>
          </w:p>
        </w:tc>
        <w:tc>
          <w:tcPr>
            <w:tcW w:w="1024" w:type="dxa"/>
            <w:tcBorders>
              <w:top w:val="single" w:sz="8" w:space="0" w:color="152935"/>
              <w:left w:val="single" w:sz="8" w:space="0" w:color="E0E0E0"/>
              <w:bottom w:val="single" w:sz="8" w:space="0" w:color="AEAEAE"/>
              <w:right w:val="nil"/>
            </w:tcBorders>
            <w:shd w:val="clear" w:color="auto" w:fill="FFFFFF"/>
          </w:tcPr>
          <w:p w14:paraId="0493BE1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.040</w:t>
            </w:r>
          </w:p>
        </w:tc>
      </w:tr>
      <w:tr w:rsidR="008879A7" w:rsidRPr="008879A7" w14:paraId="50AAB47C" w14:textId="77777777">
        <w:tblPrEx>
          <w:tblCellMar>
            <w:top w:w="0" w:type="dxa"/>
            <w:bottom w:w="0" w:type="dxa"/>
          </w:tblCellMar>
        </w:tblPrEx>
        <w:trPr>
          <w:cantSplit/>
        </w:trPr>
        <w:tc>
          <w:tcPr>
            <w:tcW w:w="1284" w:type="dxa"/>
            <w:tcBorders>
              <w:top w:val="single" w:sz="8" w:space="0" w:color="AEAEAE"/>
              <w:left w:val="nil"/>
              <w:bottom w:val="single" w:sz="8" w:space="0" w:color="AEAEAE"/>
              <w:right w:val="nil"/>
            </w:tcBorders>
            <w:shd w:val="clear" w:color="auto" w:fill="E0E0E0"/>
          </w:tcPr>
          <w:p w14:paraId="431ED86E"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Residual</w:t>
            </w:r>
          </w:p>
        </w:tc>
        <w:tc>
          <w:tcPr>
            <w:tcW w:w="1468" w:type="dxa"/>
            <w:tcBorders>
              <w:top w:val="single" w:sz="8" w:space="0" w:color="AEAEAE"/>
              <w:left w:val="nil"/>
              <w:bottom w:val="single" w:sz="8" w:space="0" w:color="AEAEAE"/>
              <w:right w:val="single" w:sz="8" w:space="0" w:color="E0E0E0"/>
            </w:tcBorders>
            <w:shd w:val="clear" w:color="auto" w:fill="FFFFFF"/>
          </w:tcPr>
          <w:p w14:paraId="1161CD0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47.554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004446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173</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EC258E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.275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vAlign w:val="center"/>
          </w:tcPr>
          <w:p w14:paraId="30DA46A7"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14:paraId="40D54451"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c>
      </w:tr>
      <w:tr w:rsidR="008879A7" w:rsidRPr="008879A7" w14:paraId="46499F8C" w14:textId="77777777">
        <w:tblPrEx>
          <w:tblCellMar>
            <w:top w:w="0" w:type="dxa"/>
            <w:bottom w:w="0" w:type="dxa"/>
          </w:tblCellMar>
        </w:tblPrEx>
        <w:trPr>
          <w:cantSplit/>
        </w:trPr>
        <w:tc>
          <w:tcPr>
            <w:tcW w:w="1284" w:type="dxa"/>
            <w:tcBorders>
              <w:top w:val="single" w:sz="8" w:space="0" w:color="AEAEAE"/>
              <w:left w:val="nil"/>
              <w:bottom w:val="single" w:sz="8" w:space="0" w:color="152935"/>
              <w:right w:val="nil"/>
            </w:tcBorders>
            <w:shd w:val="clear" w:color="auto" w:fill="E0E0E0"/>
          </w:tcPr>
          <w:p w14:paraId="3FDAE9D0"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14:paraId="4C48B89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60.849</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1CDD4AA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204</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70859014"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4EF53DEF"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14:paraId="3155DE9B"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c>
      </w:tr>
      <w:tr w:rsidR="008879A7" w:rsidRPr="008879A7" w14:paraId="718A565C" w14:textId="77777777">
        <w:tblPrEx>
          <w:tblCellMar>
            <w:top w:w="0" w:type="dxa"/>
            <w:bottom w:w="0" w:type="dxa"/>
          </w:tblCellMar>
        </w:tblPrEx>
        <w:trPr>
          <w:cantSplit/>
        </w:trPr>
        <w:tc>
          <w:tcPr>
            <w:tcW w:w="7231" w:type="dxa"/>
            <w:gridSpan w:val="6"/>
            <w:tcBorders>
              <w:top w:val="nil"/>
              <w:left w:val="nil"/>
              <w:bottom w:val="nil"/>
              <w:right w:val="nil"/>
            </w:tcBorders>
            <w:shd w:val="clear" w:color="auto" w:fill="FFFFFF"/>
          </w:tcPr>
          <w:p w14:paraId="117AA364"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 xml:space="preserve">a. Dependent Variable: </w:t>
            </w:r>
            <w:proofErr w:type="spellStart"/>
            <w:r w:rsidRPr="008879A7">
              <w:rPr>
                <w:rFonts w:ascii="Arial" w:hAnsi="Arial" w:cs="Arial"/>
                <w:color w:val="010205"/>
                <w:sz w:val="18"/>
                <w:szCs w:val="18"/>
              </w:rPr>
              <w:t>Presenteeism_days</w:t>
            </w:r>
            <w:proofErr w:type="spellEnd"/>
            <w:r w:rsidRPr="008879A7">
              <w:rPr>
                <w:rFonts w:ascii="Arial" w:hAnsi="Arial" w:cs="Arial"/>
                <w:color w:val="010205"/>
                <w:sz w:val="18"/>
                <w:szCs w:val="18"/>
              </w:rPr>
              <w:t xml:space="preserve"> </w:t>
            </w:r>
          </w:p>
          <w:p w14:paraId="28DAEB87"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(categorical variable)</w:t>
            </w:r>
          </w:p>
        </w:tc>
      </w:tr>
      <w:tr w:rsidR="008879A7" w:rsidRPr="008879A7" w14:paraId="403C9F20" w14:textId="77777777">
        <w:tblPrEx>
          <w:tblCellMar>
            <w:top w:w="0" w:type="dxa"/>
            <w:bottom w:w="0" w:type="dxa"/>
          </w:tblCellMar>
        </w:tblPrEx>
        <w:trPr>
          <w:cantSplit/>
        </w:trPr>
        <w:tc>
          <w:tcPr>
            <w:tcW w:w="7231" w:type="dxa"/>
            <w:gridSpan w:val="6"/>
            <w:tcBorders>
              <w:top w:val="nil"/>
              <w:left w:val="nil"/>
              <w:bottom w:val="nil"/>
              <w:right w:val="nil"/>
            </w:tcBorders>
            <w:shd w:val="clear" w:color="auto" w:fill="FFFFFF"/>
          </w:tcPr>
          <w:p w14:paraId="631FE9BA"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 xml:space="preserve">b. Model: (Intercept), Financial Uncertainty </w:t>
            </w:r>
          </w:p>
          <w:p w14:paraId="5A566A66"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as predictor variable, V38, V39, V40, V41, V44</w:t>
            </w:r>
          </w:p>
        </w:tc>
      </w:tr>
    </w:tbl>
    <w:p w14:paraId="70B160D2" w14:textId="77777777" w:rsidR="008879A7" w:rsidRP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47B79684"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bl>
      <w:tblPr>
        <w:tblW w:w="81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294"/>
        <w:gridCol w:w="1024"/>
        <w:gridCol w:w="1025"/>
        <w:gridCol w:w="1025"/>
        <w:gridCol w:w="1408"/>
        <w:gridCol w:w="1408"/>
      </w:tblGrid>
      <w:tr w:rsidR="008879A7" w:rsidRPr="008879A7" w14:paraId="0E813AEF"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vAlign w:val="center"/>
          </w:tcPr>
          <w:p w14:paraId="6916106E"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010205"/>
              </w:rPr>
            </w:pPr>
            <w:r w:rsidRPr="008879A7">
              <w:rPr>
                <w:rFonts w:ascii="Arial" w:hAnsi="Arial" w:cs="Arial"/>
                <w:b/>
                <w:bCs/>
                <w:color w:val="010205"/>
              </w:rPr>
              <w:t xml:space="preserve">Bayesian Estimates of </w:t>
            </w:r>
            <w:proofErr w:type="spellStart"/>
            <w:r w:rsidRPr="008879A7">
              <w:rPr>
                <w:rFonts w:ascii="Arial" w:hAnsi="Arial" w:cs="Arial"/>
                <w:b/>
                <w:bCs/>
                <w:color w:val="010205"/>
              </w:rPr>
              <w:t>Coefficients</w:t>
            </w:r>
            <w:r w:rsidRPr="008879A7">
              <w:rPr>
                <w:rFonts w:ascii="Arial" w:hAnsi="Arial" w:cs="Arial"/>
                <w:b/>
                <w:bCs/>
                <w:color w:val="010205"/>
                <w:vertAlign w:val="superscript"/>
              </w:rPr>
              <w:t>a,b,c</w:t>
            </w:r>
            <w:proofErr w:type="spellEnd"/>
          </w:p>
        </w:tc>
      </w:tr>
      <w:tr w:rsidR="008879A7" w:rsidRPr="008879A7" w14:paraId="1346E41F" w14:textId="77777777">
        <w:tblPrEx>
          <w:tblCellMar>
            <w:top w:w="0" w:type="dxa"/>
            <w:bottom w:w="0" w:type="dxa"/>
          </w:tblCellMar>
        </w:tblPrEx>
        <w:trPr>
          <w:cantSplit/>
        </w:trPr>
        <w:tc>
          <w:tcPr>
            <w:tcW w:w="2294" w:type="dxa"/>
            <w:vMerge w:val="restart"/>
            <w:tcBorders>
              <w:top w:val="nil"/>
              <w:left w:val="nil"/>
              <w:bottom w:val="nil"/>
              <w:right w:val="nil"/>
            </w:tcBorders>
            <w:shd w:val="clear" w:color="auto" w:fill="FFFFFF"/>
            <w:vAlign w:val="bottom"/>
          </w:tcPr>
          <w:p w14:paraId="0EBE96AE"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Parameter</w:t>
            </w:r>
          </w:p>
        </w:tc>
        <w:tc>
          <w:tcPr>
            <w:tcW w:w="3072" w:type="dxa"/>
            <w:gridSpan w:val="3"/>
            <w:tcBorders>
              <w:top w:val="nil"/>
              <w:left w:val="nil"/>
              <w:bottom w:val="nil"/>
              <w:right w:val="single" w:sz="8" w:space="0" w:color="E0E0E0"/>
            </w:tcBorders>
            <w:shd w:val="clear" w:color="auto" w:fill="FFFFFF"/>
            <w:vAlign w:val="bottom"/>
          </w:tcPr>
          <w:p w14:paraId="40A73900"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Posterior</w:t>
            </w:r>
          </w:p>
        </w:tc>
        <w:tc>
          <w:tcPr>
            <w:tcW w:w="2814" w:type="dxa"/>
            <w:gridSpan w:val="2"/>
            <w:tcBorders>
              <w:top w:val="nil"/>
              <w:left w:val="single" w:sz="8" w:space="0" w:color="E0E0E0"/>
              <w:bottom w:val="nil"/>
              <w:right w:val="nil"/>
            </w:tcBorders>
            <w:shd w:val="clear" w:color="auto" w:fill="FFFFFF"/>
            <w:vAlign w:val="bottom"/>
          </w:tcPr>
          <w:p w14:paraId="6A4279C8"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95% Credible Interval</w:t>
            </w:r>
          </w:p>
        </w:tc>
      </w:tr>
      <w:tr w:rsidR="008879A7" w:rsidRPr="008879A7" w14:paraId="5E32C473" w14:textId="77777777">
        <w:tblPrEx>
          <w:tblCellMar>
            <w:top w:w="0" w:type="dxa"/>
            <w:bottom w:w="0" w:type="dxa"/>
          </w:tblCellMar>
        </w:tblPrEx>
        <w:trPr>
          <w:cantSplit/>
        </w:trPr>
        <w:tc>
          <w:tcPr>
            <w:tcW w:w="2294" w:type="dxa"/>
            <w:vMerge/>
            <w:tcBorders>
              <w:top w:val="nil"/>
              <w:left w:val="nil"/>
              <w:bottom w:val="nil"/>
              <w:right w:val="nil"/>
            </w:tcBorders>
            <w:shd w:val="clear" w:color="auto" w:fill="FFFFFF"/>
            <w:vAlign w:val="bottom"/>
          </w:tcPr>
          <w:p w14:paraId="21AA3369" w14:textId="77777777" w:rsidR="008879A7" w:rsidRPr="008879A7" w:rsidRDefault="008879A7" w:rsidP="008879A7">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1982F4D3"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4FF70689"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52C2A556"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104DBFD8"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Lower Bound</w:t>
            </w:r>
          </w:p>
        </w:tc>
        <w:tc>
          <w:tcPr>
            <w:tcW w:w="1407" w:type="dxa"/>
            <w:tcBorders>
              <w:top w:val="nil"/>
              <w:left w:val="single" w:sz="8" w:space="0" w:color="E0E0E0"/>
              <w:bottom w:val="single" w:sz="8" w:space="0" w:color="152935"/>
              <w:right w:val="nil"/>
            </w:tcBorders>
            <w:shd w:val="clear" w:color="auto" w:fill="FFFFFF"/>
            <w:vAlign w:val="bottom"/>
          </w:tcPr>
          <w:p w14:paraId="11C56EA7"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Upper Bound</w:t>
            </w:r>
          </w:p>
        </w:tc>
      </w:tr>
      <w:tr w:rsidR="008879A7" w:rsidRPr="008879A7" w14:paraId="2D8EF979" w14:textId="77777777">
        <w:tblPrEx>
          <w:tblCellMar>
            <w:top w:w="0" w:type="dxa"/>
            <w:bottom w:w="0" w:type="dxa"/>
          </w:tblCellMar>
        </w:tblPrEx>
        <w:trPr>
          <w:cantSplit/>
        </w:trPr>
        <w:tc>
          <w:tcPr>
            <w:tcW w:w="2294" w:type="dxa"/>
            <w:tcBorders>
              <w:top w:val="single" w:sz="8" w:space="0" w:color="152935"/>
              <w:left w:val="nil"/>
              <w:bottom w:val="single" w:sz="8" w:space="0" w:color="AEAEAE"/>
              <w:right w:val="nil"/>
            </w:tcBorders>
            <w:shd w:val="clear" w:color="auto" w:fill="E0E0E0"/>
          </w:tcPr>
          <w:p w14:paraId="5CA74A11"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(Intercept)</w:t>
            </w:r>
          </w:p>
        </w:tc>
        <w:tc>
          <w:tcPr>
            <w:tcW w:w="1024" w:type="dxa"/>
            <w:tcBorders>
              <w:top w:val="single" w:sz="8" w:space="0" w:color="152935"/>
              <w:left w:val="nil"/>
              <w:bottom w:val="single" w:sz="8" w:space="0" w:color="AEAEAE"/>
              <w:right w:val="single" w:sz="8" w:space="0" w:color="E0E0E0"/>
            </w:tcBorders>
            <w:shd w:val="clear" w:color="auto" w:fill="FFFFFF"/>
          </w:tcPr>
          <w:p w14:paraId="18D1434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-.379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2F0F7B4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-.379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14:paraId="7FF8FCE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.032</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14:paraId="0E0B06E8"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-.729</w:t>
            </w:r>
          </w:p>
        </w:tc>
        <w:tc>
          <w:tcPr>
            <w:tcW w:w="1407" w:type="dxa"/>
            <w:tcBorders>
              <w:top w:val="single" w:sz="8" w:space="0" w:color="152935"/>
              <w:left w:val="single" w:sz="8" w:space="0" w:color="E0E0E0"/>
              <w:bottom w:val="single" w:sz="8" w:space="0" w:color="AEAEAE"/>
              <w:right w:val="nil"/>
            </w:tcBorders>
            <w:shd w:val="clear" w:color="auto" w:fill="FFFFFF"/>
          </w:tcPr>
          <w:p w14:paraId="5814B5C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-.030</w:t>
            </w:r>
          </w:p>
        </w:tc>
      </w:tr>
      <w:tr w:rsidR="008879A7" w:rsidRPr="008879A7" w14:paraId="0F316225"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610570CB"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 xml:space="preserve">Financial Uncertainty </w:t>
            </w:r>
          </w:p>
          <w:p w14:paraId="28C513C8"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as predictor variable = 1</w:t>
            </w:r>
          </w:p>
        </w:tc>
        <w:tc>
          <w:tcPr>
            <w:tcW w:w="1024" w:type="dxa"/>
            <w:tcBorders>
              <w:top w:val="single" w:sz="8" w:space="0" w:color="AEAEAE"/>
              <w:left w:val="nil"/>
              <w:bottom w:val="single" w:sz="8" w:space="0" w:color="AEAEAE"/>
              <w:right w:val="single" w:sz="8" w:space="0" w:color="E0E0E0"/>
            </w:tcBorders>
            <w:shd w:val="clear" w:color="auto" w:fill="FFFFFF"/>
          </w:tcPr>
          <w:p w14:paraId="2B94B90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38BCF9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-.128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A7793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.170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4E331D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-.936</w:t>
            </w:r>
          </w:p>
        </w:tc>
        <w:tc>
          <w:tcPr>
            <w:tcW w:w="1407" w:type="dxa"/>
            <w:tcBorders>
              <w:top w:val="single" w:sz="8" w:space="0" w:color="AEAEAE"/>
              <w:left w:val="single" w:sz="8" w:space="0" w:color="E0E0E0"/>
              <w:bottom w:val="single" w:sz="8" w:space="0" w:color="AEAEAE"/>
              <w:right w:val="nil"/>
            </w:tcBorders>
            <w:shd w:val="clear" w:color="auto" w:fill="FFFFFF"/>
          </w:tcPr>
          <w:p w14:paraId="3AFCCC2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.680</w:t>
            </w:r>
          </w:p>
        </w:tc>
      </w:tr>
      <w:tr w:rsidR="008879A7" w:rsidRPr="008879A7" w14:paraId="3C772FE1"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748ED4B8"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 xml:space="preserve">Financial Uncertainty </w:t>
            </w:r>
          </w:p>
          <w:p w14:paraId="26838849"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as predictor variable = 2</w:t>
            </w:r>
          </w:p>
        </w:tc>
        <w:tc>
          <w:tcPr>
            <w:tcW w:w="1024" w:type="dxa"/>
            <w:tcBorders>
              <w:top w:val="single" w:sz="8" w:space="0" w:color="AEAEAE"/>
              <w:left w:val="nil"/>
              <w:bottom w:val="single" w:sz="8" w:space="0" w:color="AEAEAE"/>
              <w:right w:val="single" w:sz="8" w:space="0" w:color="E0E0E0"/>
            </w:tcBorders>
            <w:shd w:val="clear" w:color="auto" w:fill="FFFFFF"/>
          </w:tcPr>
          <w:p w14:paraId="1F1032A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74449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77AAA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.077</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77DB583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-.522</w:t>
            </w:r>
          </w:p>
        </w:tc>
        <w:tc>
          <w:tcPr>
            <w:tcW w:w="1407" w:type="dxa"/>
            <w:tcBorders>
              <w:top w:val="single" w:sz="8" w:space="0" w:color="AEAEAE"/>
              <w:left w:val="single" w:sz="8" w:space="0" w:color="E0E0E0"/>
              <w:bottom w:val="single" w:sz="8" w:space="0" w:color="AEAEAE"/>
              <w:right w:val="nil"/>
            </w:tcBorders>
            <w:shd w:val="clear" w:color="auto" w:fill="FFFFFF"/>
          </w:tcPr>
          <w:p w14:paraId="34D3CD4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.570</w:t>
            </w:r>
          </w:p>
        </w:tc>
      </w:tr>
      <w:tr w:rsidR="008879A7" w:rsidRPr="008879A7" w14:paraId="431131A1"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437493B8"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lastRenderedPageBreak/>
              <w:t xml:space="preserve">Financial Uncertainty </w:t>
            </w:r>
          </w:p>
          <w:p w14:paraId="6A53D089"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as predictor variable = 3</w:t>
            </w:r>
          </w:p>
        </w:tc>
        <w:tc>
          <w:tcPr>
            <w:tcW w:w="1024" w:type="dxa"/>
            <w:tcBorders>
              <w:top w:val="single" w:sz="8" w:space="0" w:color="AEAEAE"/>
              <w:left w:val="nil"/>
              <w:bottom w:val="single" w:sz="8" w:space="0" w:color="AEAEAE"/>
              <w:right w:val="single" w:sz="8" w:space="0" w:color="E0E0E0"/>
            </w:tcBorders>
            <w:shd w:val="clear" w:color="auto" w:fill="FFFFFF"/>
          </w:tcPr>
          <w:p w14:paraId="2C73F7A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7F194D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9E8ED8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.072</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7EC343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-.397</w:t>
            </w:r>
          </w:p>
        </w:tc>
        <w:tc>
          <w:tcPr>
            <w:tcW w:w="1407" w:type="dxa"/>
            <w:tcBorders>
              <w:top w:val="single" w:sz="8" w:space="0" w:color="AEAEAE"/>
              <w:left w:val="single" w:sz="8" w:space="0" w:color="E0E0E0"/>
              <w:bottom w:val="single" w:sz="8" w:space="0" w:color="AEAEAE"/>
              <w:right w:val="nil"/>
            </w:tcBorders>
            <w:shd w:val="clear" w:color="auto" w:fill="FFFFFF"/>
          </w:tcPr>
          <w:p w14:paraId="4B9C37B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.658</w:t>
            </w:r>
          </w:p>
        </w:tc>
      </w:tr>
      <w:tr w:rsidR="008879A7" w:rsidRPr="008879A7" w14:paraId="13562A12"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05A9CD66"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 xml:space="preserve">Financial Uncertainty </w:t>
            </w:r>
          </w:p>
          <w:p w14:paraId="5E3988B6"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as predictor variable = 4</w:t>
            </w:r>
          </w:p>
        </w:tc>
        <w:tc>
          <w:tcPr>
            <w:tcW w:w="1024" w:type="dxa"/>
            <w:tcBorders>
              <w:top w:val="single" w:sz="8" w:space="0" w:color="AEAEAE"/>
              <w:left w:val="nil"/>
              <w:bottom w:val="single" w:sz="8" w:space="0" w:color="AEAEAE"/>
              <w:right w:val="single" w:sz="8" w:space="0" w:color="E0E0E0"/>
            </w:tcBorders>
            <w:shd w:val="clear" w:color="auto" w:fill="FFFFFF"/>
          </w:tcPr>
          <w:p w14:paraId="603E92F8"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9920A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.347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86FB2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15E593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-.173</w:t>
            </w:r>
          </w:p>
        </w:tc>
        <w:tc>
          <w:tcPr>
            <w:tcW w:w="1407" w:type="dxa"/>
            <w:tcBorders>
              <w:top w:val="single" w:sz="8" w:space="0" w:color="AEAEAE"/>
              <w:left w:val="single" w:sz="8" w:space="0" w:color="E0E0E0"/>
              <w:bottom w:val="single" w:sz="8" w:space="0" w:color="AEAEAE"/>
              <w:right w:val="nil"/>
            </w:tcBorders>
            <w:shd w:val="clear" w:color="auto" w:fill="FFFFFF"/>
          </w:tcPr>
          <w:p w14:paraId="1B908BF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.867</w:t>
            </w:r>
          </w:p>
        </w:tc>
      </w:tr>
      <w:tr w:rsidR="008879A7" w:rsidRPr="008879A7" w14:paraId="4A692674"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6B98C160"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 xml:space="preserve">Financial Uncertainty </w:t>
            </w:r>
          </w:p>
          <w:p w14:paraId="5E3F7759"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as predictor variable = 5</w:t>
            </w:r>
          </w:p>
        </w:tc>
        <w:tc>
          <w:tcPr>
            <w:tcW w:w="1024" w:type="dxa"/>
            <w:tcBorders>
              <w:top w:val="single" w:sz="8" w:space="0" w:color="AEAEAE"/>
              <w:left w:val="nil"/>
              <w:bottom w:val="single" w:sz="8" w:space="0" w:color="AEAEAE"/>
              <w:right w:val="single" w:sz="8" w:space="0" w:color="E0E0E0"/>
            </w:tcBorders>
            <w:shd w:val="clear" w:color="auto" w:fill="FFFFFF"/>
          </w:tcPr>
          <w:p w14:paraId="43D2701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B24001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.269</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257B3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4BF460E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-.169</w:t>
            </w:r>
          </w:p>
        </w:tc>
        <w:tc>
          <w:tcPr>
            <w:tcW w:w="1407" w:type="dxa"/>
            <w:tcBorders>
              <w:top w:val="single" w:sz="8" w:space="0" w:color="AEAEAE"/>
              <w:left w:val="single" w:sz="8" w:space="0" w:color="E0E0E0"/>
              <w:bottom w:val="single" w:sz="8" w:space="0" w:color="AEAEAE"/>
              <w:right w:val="nil"/>
            </w:tcBorders>
            <w:shd w:val="clear" w:color="auto" w:fill="FFFFFF"/>
          </w:tcPr>
          <w:p w14:paraId="7936E7D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.707</w:t>
            </w:r>
          </w:p>
        </w:tc>
      </w:tr>
      <w:tr w:rsidR="008879A7" w:rsidRPr="008879A7" w14:paraId="11B9018B"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3EF51A04"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 xml:space="preserve">Financial Uncertainty </w:t>
            </w:r>
          </w:p>
          <w:p w14:paraId="5BF3D82E"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as predictor variable = 6</w:t>
            </w:r>
          </w:p>
        </w:tc>
        <w:tc>
          <w:tcPr>
            <w:tcW w:w="1024" w:type="dxa"/>
            <w:tcBorders>
              <w:top w:val="single" w:sz="8" w:space="0" w:color="AEAEAE"/>
              <w:left w:val="nil"/>
              <w:bottom w:val="single" w:sz="8" w:space="0" w:color="AEAEAE"/>
              <w:right w:val="single" w:sz="8" w:space="0" w:color="E0E0E0"/>
            </w:tcBorders>
            <w:shd w:val="clear" w:color="auto" w:fill="FFFFFF"/>
          </w:tcPr>
          <w:p w14:paraId="34B9368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6E90E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.330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B97A9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.043</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2A0745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-.077</w:t>
            </w:r>
          </w:p>
        </w:tc>
        <w:tc>
          <w:tcPr>
            <w:tcW w:w="1407" w:type="dxa"/>
            <w:tcBorders>
              <w:top w:val="single" w:sz="8" w:space="0" w:color="AEAEAE"/>
              <w:left w:val="single" w:sz="8" w:space="0" w:color="E0E0E0"/>
              <w:bottom w:val="single" w:sz="8" w:space="0" w:color="AEAEAE"/>
              <w:right w:val="nil"/>
            </w:tcBorders>
            <w:shd w:val="clear" w:color="auto" w:fill="FFFFFF"/>
          </w:tcPr>
          <w:p w14:paraId="009C92D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.737</w:t>
            </w:r>
          </w:p>
        </w:tc>
      </w:tr>
      <w:tr w:rsidR="008879A7" w:rsidRPr="008879A7" w14:paraId="377BA69B"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017CEC05"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 xml:space="preserve">Financial Uncertainty </w:t>
            </w:r>
          </w:p>
          <w:p w14:paraId="3077357A"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as predictor variable = 7</w:t>
            </w:r>
          </w:p>
        </w:tc>
        <w:tc>
          <w:tcPr>
            <w:tcW w:w="1024" w:type="dxa"/>
            <w:tcBorders>
              <w:top w:val="single" w:sz="8" w:space="0" w:color="AEAEAE"/>
              <w:left w:val="nil"/>
              <w:bottom w:val="single" w:sz="8" w:space="0" w:color="AEAEAE"/>
              <w:right w:val="single" w:sz="8" w:space="0" w:color="E0E0E0"/>
            </w:tcBorders>
            <w:shd w:val="clear" w:color="auto" w:fill="FFFFFF"/>
          </w:tcPr>
          <w:p w14:paraId="684B473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F9393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615D4F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7E96FE1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nil"/>
            </w:tcBorders>
            <w:shd w:val="clear" w:color="auto" w:fill="FFFFFF"/>
          </w:tcPr>
          <w:p w14:paraId="019E785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r>
      <w:tr w:rsidR="008879A7" w:rsidRPr="008879A7" w14:paraId="63FD8895"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1DB34B99"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V38 = 1</w:t>
            </w:r>
          </w:p>
        </w:tc>
        <w:tc>
          <w:tcPr>
            <w:tcW w:w="1024" w:type="dxa"/>
            <w:tcBorders>
              <w:top w:val="single" w:sz="8" w:space="0" w:color="AEAEAE"/>
              <w:left w:val="nil"/>
              <w:bottom w:val="single" w:sz="8" w:space="0" w:color="AEAEAE"/>
              <w:right w:val="single" w:sz="8" w:space="0" w:color="E0E0E0"/>
            </w:tcBorders>
            <w:shd w:val="clear" w:color="auto" w:fill="FFFFFF"/>
          </w:tcPr>
          <w:p w14:paraId="0267EFD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869F5D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.297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408D29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18385A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-.223</w:t>
            </w:r>
          </w:p>
        </w:tc>
        <w:tc>
          <w:tcPr>
            <w:tcW w:w="1407" w:type="dxa"/>
            <w:tcBorders>
              <w:top w:val="single" w:sz="8" w:space="0" w:color="AEAEAE"/>
              <w:left w:val="single" w:sz="8" w:space="0" w:color="E0E0E0"/>
              <w:bottom w:val="single" w:sz="8" w:space="0" w:color="AEAEAE"/>
              <w:right w:val="nil"/>
            </w:tcBorders>
            <w:shd w:val="clear" w:color="auto" w:fill="FFFFFF"/>
          </w:tcPr>
          <w:p w14:paraId="4DAC3F1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.816</w:t>
            </w:r>
          </w:p>
        </w:tc>
      </w:tr>
      <w:tr w:rsidR="008879A7" w:rsidRPr="008879A7" w14:paraId="165253C6"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106DA88E"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V38 = 2</w:t>
            </w:r>
          </w:p>
        </w:tc>
        <w:tc>
          <w:tcPr>
            <w:tcW w:w="1024" w:type="dxa"/>
            <w:tcBorders>
              <w:top w:val="single" w:sz="8" w:space="0" w:color="AEAEAE"/>
              <w:left w:val="nil"/>
              <w:bottom w:val="single" w:sz="8" w:space="0" w:color="AEAEAE"/>
              <w:right w:val="single" w:sz="8" w:space="0" w:color="E0E0E0"/>
            </w:tcBorders>
            <w:shd w:val="clear" w:color="auto" w:fill="FFFFFF"/>
          </w:tcPr>
          <w:p w14:paraId="59E7FCB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D5F97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.511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2D09BB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.058</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7F329A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.040</w:t>
            </w:r>
          </w:p>
        </w:tc>
        <w:tc>
          <w:tcPr>
            <w:tcW w:w="1407" w:type="dxa"/>
            <w:tcBorders>
              <w:top w:val="single" w:sz="8" w:space="0" w:color="AEAEAE"/>
              <w:left w:val="single" w:sz="8" w:space="0" w:color="E0E0E0"/>
              <w:bottom w:val="single" w:sz="8" w:space="0" w:color="AEAEAE"/>
              <w:right w:val="nil"/>
            </w:tcBorders>
            <w:shd w:val="clear" w:color="auto" w:fill="FFFFFF"/>
          </w:tcPr>
          <w:p w14:paraId="1692BC6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.983</w:t>
            </w:r>
          </w:p>
        </w:tc>
      </w:tr>
      <w:tr w:rsidR="008879A7" w:rsidRPr="008879A7" w14:paraId="24345258"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6F6487AD"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V38 = 3</w:t>
            </w:r>
          </w:p>
        </w:tc>
        <w:tc>
          <w:tcPr>
            <w:tcW w:w="1024" w:type="dxa"/>
            <w:tcBorders>
              <w:top w:val="single" w:sz="8" w:space="0" w:color="AEAEAE"/>
              <w:left w:val="nil"/>
              <w:bottom w:val="single" w:sz="8" w:space="0" w:color="AEAEAE"/>
              <w:right w:val="single" w:sz="8" w:space="0" w:color="E0E0E0"/>
            </w:tcBorders>
            <w:shd w:val="clear" w:color="auto" w:fill="FFFFFF"/>
          </w:tcPr>
          <w:p w14:paraId="7EB5F34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541E4C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.521</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BF14F0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.046</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37178A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.098</w:t>
            </w:r>
          </w:p>
        </w:tc>
        <w:tc>
          <w:tcPr>
            <w:tcW w:w="1407" w:type="dxa"/>
            <w:tcBorders>
              <w:top w:val="single" w:sz="8" w:space="0" w:color="AEAEAE"/>
              <w:left w:val="single" w:sz="8" w:space="0" w:color="E0E0E0"/>
              <w:bottom w:val="single" w:sz="8" w:space="0" w:color="AEAEAE"/>
              <w:right w:val="nil"/>
            </w:tcBorders>
            <w:shd w:val="clear" w:color="auto" w:fill="FFFFFF"/>
          </w:tcPr>
          <w:p w14:paraId="532DEEF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.944</w:t>
            </w:r>
          </w:p>
        </w:tc>
      </w:tr>
      <w:tr w:rsidR="008879A7" w:rsidRPr="008879A7" w14:paraId="5CE4295E"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0647B5B1"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V38 = 4</w:t>
            </w:r>
          </w:p>
        </w:tc>
        <w:tc>
          <w:tcPr>
            <w:tcW w:w="1024" w:type="dxa"/>
            <w:tcBorders>
              <w:top w:val="single" w:sz="8" w:space="0" w:color="AEAEAE"/>
              <w:left w:val="nil"/>
              <w:bottom w:val="single" w:sz="8" w:space="0" w:color="AEAEAE"/>
              <w:right w:val="single" w:sz="8" w:space="0" w:color="E0E0E0"/>
            </w:tcBorders>
            <w:shd w:val="clear" w:color="auto" w:fill="FFFFFF"/>
          </w:tcPr>
          <w:p w14:paraId="0811F1D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378655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D5252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.039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7FE515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-.148</w:t>
            </w:r>
          </w:p>
        </w:tc>
        <w:tc>
          <w:tcPr>
            <w:tcW w:w="1407" w:type="dxa"/>
            <w:tcBorders>
              <w:top w:val="single" w:sz="8" w:space="0" w:color="AEAEAE"/>
              <w:left w:val="single" w:sz="8" w:space="0" w:color="E0E0E0"/>
              <w:bottom w:val="single" w:sz="8" w:space="0" w:color="AEAEAE"/>
              <w:right w:val="nil"/>
            </w:tcBorders>
            <w:shd w:val="clear" w:color="auto" w:fill="FFFFFF"/>
          </w:tcPr>
          <w:p w14:paraId="4283FF4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.627</w:t>
            </w:r>
          </w:p>
        </w:tc>
      </w:tr>
      <w:tr w:rsidR="008879A7" w:rsidRPr="008879A7" w14:paraId="5ABCC274"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3813E34D"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V38 = 5</w:t>
            </w:r>
          </w:p>
        </w:tc>
        <w:tc>
          <w:tcPr>
            <w:tcW w:w="1024" w:type="dxa"/>
            <w:tcBorders>
              <w:top w:val="single" w:sz="8" w:space="0" w:color="AEAEAE"/>
              <w:left w:val="nil"/>
              <w:bottom w:val="single" w:sz="8" w:space="0" w:color="AEAEAE"/>
              <w:right w:val="single" w:sz="8" w:space="0" w:color="E0E0E0"/>
            </w:tcBorders>
            <w:shd w:val="clear" w:color="auto" w:fill="FFFFFF"/>
          </w:tcPr>
          <w:p w14:paraId="6E03C6E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1F191A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.112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B6CE34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B57ABB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-.163</w:t>
            </w:r>
          </w:p>
        </w:tc>
        <w:tc>
          <w:tcPr>
            <w:tcW w:w="1407" w:type="dxa"/>
            <w:tcBorders>
              <w:top w:val="single" w:sz="8" w:space="0" w:color="AEAEAE"/>
              <w:left w:val="single" w:sz="8" w:space="0" w:color="E0E0E0"/>
              <w:bottom w:val="single" w:sz="8" w:space="0" w:color="AEAEAE"/>
              <w:right w:val="nil"/>
            </w:tcBorders>
            <w:shd w:val="clear" w:color="auto" w:fill="FFFFFF"/>
          </w:tcPr>
          <w:p w14:paraId="5D63DA5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.387</w:t>
            </w:r>
          </w:p>
        </w:tc>
      </w:tr>
      <w:tr w:rsidR="008879A7" w:rsidRPr="008879A7" w14:paraId="555ECD34"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167CBD7A"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V38 = 6</w:t>
            </w:r>
          </w:p>
        </w:tc>
        <w:tc>
          <w:tcPr>
            <w:tcW w:w="1024" w:type="dxa"/>
            <w:tcBorders>
              <w:top w:val="single" w:sz="8" w:space="0" w:color="AEAEAE"/>
              <w:left w:val="nil"/>
              <w:bottom w:val="single" w:sz="8" w:space="0" w:color="AEAEAE"/>
              <w:right w:val="single" w:sz="8" w:space="0" w:color="E0E0E0"/>
            </w:tcBorders>
            <w:shd w:val="clear" w:color="auto" w:fill="FFFFFF"/>
          </w:tcPr>
          <w:p w14:paraId="4A7DA2E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E01B0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07935C8"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.015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510FE8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-.167</w:t>
            </w:r>
          </w:p>
        </w:tc>
        <w:tc>
          <w:tcPr>
            <w:tcW w:w="1407" w:type="dxa"/>
            <w:tcBorders>
              <w:top w:val="single" w:sz="8" w:space="0" w:color="AEAEAE"/>
              <w:left w:val="single" w:sz="8" w:space="0" w:color="E0E0E0"/>
              <w:bottom w:val="single" w:sz="8" w:space="0" w:color="AEAEAE"/>
              <w:right w:val="nil"/>
            </w:tcBorders>
            <w:shd w:val="clear" w:color="auto" w:fill="FFFFFF"/>
          </w:tcPr>
          <w:p w14:paraId="7800E50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.308</w:t>
            </w:r>
          </w:p>
        </w:tc>
      </w:tr>
      <w:tr w:rsidR="008879A7" w:rsidRPr="008879A7" w14:paraId="4DB6ACEE"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30F31C62"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V38 = 7</w:t>
            </w:r>
          </w:p>
        </w:tc>
        <w:tc>
          <w:tcPr>
            <w:tcW w:w="1024" w:type="dxa"/>
            <w:tcBorders>
              <w:top w:val="single" w:sz="8" w:space="0" w:color="AEAEAE"/>
              <w:left w:val="nil"/>
              <w:bottom w:val="single" w:sz="8" w:space="0" w:color="AEAEAE"/>
              <w:right w:val="single" w:sz="8" w:space="0" w:color="E0E0E0"/>
            </w:tcBorders>
            <w:shd w:val="clear" w:color="auto" w:fill="FFFFFF"/>
          </w:tcPr>
          <w:p w14:paraId="7994A2E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63B81A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3EA44A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D598C9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nil"/>
            </w:tcBorders>
            <w:shd w:val="clear" w:color="auto" w:fill="FFFFFF"/>
          </w:tcPr>
          <w:p w14:paraId="3F7384B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r>
      <w:tr w:rsidR="008879A7" w:rsidRPr="008879A7" w14:paraId="54AD50F9"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7415017F"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V39 = 1</w:t>
            </w:r>
          </w:p>
        </w:tc>
        <w:tc>
          <w:tcPr>
            <w:tcW w:w="1024" w:type="dxa"/>
            <w:tcBorders>
              <w:top w:val="single" w:sz="8" w:space="0" w:color="AEAEAE"/>
              <w:left w:val="nil"/>
              <w:bottom w:val="single" w:sz="8" w:space="0" w:color="AEAEAE"/>
              <w:right w:val="single" w:sz="8" w:space="0" w:color="E0E0E0"/>
            </w:tcBorders>
            <w:shd w:val="clear" w:color="auto" w:fill="FFFFFF"/>
          </w:tcPr>
          <w:p w14:paraId="64E7599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1.046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6440B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1.046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142818"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.201</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752D24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.166</w:t>
            </w:r>
          </w:p>
        </w:tc>
        <w:tc>
          <w:tcPr>
            <w:tcW w:w="1407" w:type="dxa"/>
            <w:tcBorders>
              <w:top w:val="single" w:sz="8" w:space="0" w:color="AEAEAE"/>
              <w:left w:val="single" w:sz="8" w:space="0" w:color="E0E0E0"/>
              <w:bottom w:val="single" w:sz="8" w:space="0" w:color="AEAEAE"/>
              <w:right w:val="nil"/>
            </w:tcBorders>
            <w:shd w:val="clear" w:color="auto" w:fill="FFFFFF"/>
          </w:tcPr>
          <w:p w14:paraId="0F58973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1.925</w:t>
            </w:r>
          </w:p>
        </w:tc>
      </w:tr>
      <w:tr w:rsidR="008879A7" w:rsidRPr="008879A7" w14:paraId="30E0DCCE"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18084B4F"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V39 = 2</w:t>
            </w:r>
          </w:p>
        </w:tc>
        <w:tc>
          <w:tcPr>
            <w:tcW w:w="1024" w:type="dxa"/>
            <w:tcBorders>
              <w:top w:val="single" w:sz="8" w:space="0" w:color="AEAEAE"/>
              <w:left w:val="nil"/>
              <w:bottom w:val="single" w:sz="8" w:space="0" w:color="AEAEAE"/>
              <w:right w:val="single" w:sz="8" w:space="0" w:color="E0E0E0"/>
            </w:tcBorders>
            <w:shd w:val="clear" w:color="auto" w:fill="FFFFFF"/>
          </w:tcPr>
          <w:p w14:paraId="113DC9E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A7853B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.123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530DD1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.071</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7E9F738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-.398</w:t>
            </w:r>
          </w:p>
        </w:tc>
        <w:tc>
          <w:tcPr>
            <w:tcW w:w="1407" w:type="dxa"/>
            <w:tcBorders>
              <w:top w:val="single" w:sz="8" w:space="0" w:color="AEAEAE"/>
              <w:left w:val="single" w:sz="8" w:space="0" w:color="E0E0E0"/>
              <w:bottom w:val="single" w:sz="8" w:space="0" w:color="AEAEAE"/>
              <w:right w:val="nil"/>
            </w:tcBorders>
            <w:shd w:val="clear" w:color="auto" w:fill="FFFFFF"/>
          </w:tcPr>
          <w:p w14:paraId="461F112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.644</w:t>
            </w:r>
          </w:p>
        </w:tc>
      </w:tr>
      <w:tr w:rsidR="008879A7" w:rsidRPr="008879A7" w14:paraId="04E001F8"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3D839F0E"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V39 = 3</w:t>
            </w:r>
          </w:p>
        </w:tc>
        <w:tc>
          <w:tcPr>
            <w:tcW w:w="1024" w:type="dxa"/>
            <w:tcBorders>
              <w:top w:val="single" w:sz="8" w:space="0" w:color="AEAEAE"/>
              <w:left w:val="nil"/>
              <w:bottom w:val="single" w:sz="8" w:space="0" w:color="AEAEAE"/>
              <w:right w:val="single" w:sz="8" w:space="0" w:color="E0E0E0"/>
            </w:tcBorders>
            <w:shd w:val="clear" w:color="auto" w:fill="FFFFFF"/>
          </w:tcPr>
          <w:p w14:paraId="7D79BC3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2368BE8"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.090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1A21BE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316020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-.386</w:t>
            </w:r>
          </w:p>
        </w:tc>
        <w:tc>
          <w:tcPr>
            <w:tcW w:w="1407" w:type="dxa"/>
            <w:tcBorders>
              <w:top w:val="single" w:sz="8" w:space="0" w:color="AEAEAE"/>
              <w:left w:val="single" w:sz="8" w:space="0" w:color="E0E0E0"/>
              <w:bottom w:val="single" w:sz="8" w:space="0" w:color="AEAEAE"/>
              <w:right w:val="nil"/>
            </w:tcBorders>
            <w:shd w:val="clear" w:color="auto" w:fill="FFFFFF"/>
          </w:tcPr>
          <w:p w14:paraId="7E57AEF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.567</w:t>
            </w:r>
          </w:p>
        </w:tc>
      </w:tr>
      <w:tr w:rsidR="008879A7" w:rsidRPr="008879A7" w14:paraId="3EEF4907"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20B82F2F"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V39 = 4</w:t>
            </w:r>
          </w:p>
        </w:tc>
        <w:tc>
          <w:tcPr>
            <w:tcW w:w="1024" w:type="dxa"/>
            <w:tcBorders>
              <w:top w:val="single" w:sz="8" w:space="0" w:color="AEAEAE"/>
              <w:left w:val="nil"/>
              <w:bottom w:val="single" w:sz="8" w:space="0" w:color="AEAEAE"/>
              <w:right w:val="single" w:sz="8" w:space="0" w:color="E0E0E0"/>
            </w:tcBorders>
            <w:shd w:val="clear" w:color="auto" w:fill="FFFFFF"/>
          </w:tcPr>
          <w:p w14:paraId="54F6D85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CD7742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-.162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08ED1A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bookmarkStart w:id="0" w:name="_GoBack"/>
            <w:bookmarkEnd w:id="0"/>
            <w:r w:rsidRPr="008879A7">
              <w:rPr>
                <w:rFonts w:ascii="Arial" w:hAnsi="Arial" w:cs="Arial"/>
                <w:color w:val="010205"/>
                <w:sz w:val="18"/>
                <w:szCs w:val="18"/>
              </w:rPr>
              <w:t>.054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520CFDC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-.616</w:t>
            </w:r>
          </w:p>
        </w:tc>
        <w:tc>
          <w:tcPr>
            <w:tcW w:w="1407" w:type="dxa"/>
            <w:tcBorders>
              <w:top w:val="single" w:sz="8" w:space="0" w:color="AEAEAE"/>
              <w:left w:val="single" w:sz="8" w:space="0" w:color="E0E0E0"/>
              <w:bottom w:val="single" w:sz="8" w:space="0" w:color="AEAEAE"/>
              <w:right w:val="nil"/>
            </w:tcBorders>
            <w:shd w:val="clear" w:color="auto" w:fill="FFFFFF"/>
          </w:tcPr>
          <w:p w14:paraId="5771AC6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.293</w:t>
            </w:r>
          </w:p>
        </w:tc>
      </w:tr>
      <w:tr w:rsidR="008879A7" w:rsidRPr="008879A7" w14:paraId="17959EB0"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7CD15D11"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V39 = 5</w:t>
            </w:r>
          </w:p>
        </w:tc>
        <w:tc>
          <w:tcPr>
            <w:tcW w:w="1024" w:type="dxa"/>
            <w:tcBorders>
              <w:top w:val="single" w:sz="8" w:space="0" w:color="AEAEAE"/>
              <w:left w:val="nil"/>
              <w:bottom w:val="single" w:sz="8" w:space="0" w:color="AEAEAE"/>
              <w:right w:val="single" w:sz="8" w:space="0" w:color="E0E0E0"/>
            </w:tcBorders>
            <w:shd w:val="clear" w:color="auto" w:fill="FFFFFF"/>
          </w:tcPr>
          <w:p w14:paraId="06EC58F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41E35C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01EDA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307221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-.396</w:t>
            </w:r>
          </w:p>
        </w:tc>
        <w:tc>
          <w:tcPr>
            <w:tcW w:w="1407" w:type="dxa"/>
            <w:tcBorders>
              <w:top w:val="single" w:sz="8" w:space="0" w:color="AEAEAE"/>
              <w:left w:val="single" w:sz="8" w:space="0" w:color="E0E0E0"/>
              <w:bottom w:val="single" w:sz="8" w:space="0" w:color="AEAEAE"/>
              <w:right w:val="nil"/>
            </w:tcBorders>
            <w:shd w:val="clear" w:color="auto" w:fill="FFFFFF"/>
          </w:tcPr>
          <w:p w14:paraId="13B4BBC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.230</w:t>
            </w:r>
          </w:p>
        </w:tc>
      </w:tr>
      <w:tr w:rsidR="008879A7" w:rsidRPr="008879A7" w14:paraId="4262B838"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61F57909"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V39 = 6</w:t>
            </w:r>
          </w:p>
        </w:tc>
        <w:tc>
          <w:tcPr>
            <w:tcW w:w="1024" w:type="dxa"/>
            <w:tcBorders>
              <w:top w:val="single" w:sz="8" w:space="0" w:color="AEAEAE"/>
              <w:left w:val="nil"/>
              <w:bottom w:val="single" w:sz="8" w:space="0" w:color="AEAEAE"/>
              <w:right w:val="single" w:sz="8" w:space="0" w:color="E0E0E0"/>
            </w:tcBorders>
            <w:shd w:val="clear" w:color="auto" w:fill="FFFFFF"/>
          </w:tcPr>
          <w:p w14:paraId="213149D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AEA11A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-.104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0B3D9A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.023</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EB1DF78"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-.399</w:t>
            </w:r>
          </w:p>
        </w:tc>
        <w:tc>
          <w:tcPr>
            <w:tcW w:w="1407" w:type="dxa"/>
            <w:tcBorders>
              <w:top w:val="single" w:sz="8" w:space="0" w:color="AEAEAE"/>
              <w:left w:val="single" w:sz="8" w:space="0" w:color="E0E0E0"/>
              <w:bottom w:val="single" w:sz="8" w:space="0" w:color="AEAEAE"/>
              <w:right w:val="nil"/>
            </w:tcBorders>
            <w:shd w:val="clear" w:color="auto" w:fill="FFFFFF"/>
          </w:tcPr>
          <w:p w14:paraId="58D6C57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.190</w:t>
            </w:r>
          </w:p>
        </w:tc>
      </w:tr>
      <w:tr w:rsidR="008879A7" w:rsidRPr="008879A7" w14:paraId="2EFEFF28"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604204DF"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V39 = 7</w:t>
            </w:r>
          </w:p>
        </w:tc>
        <w:tc>
          <w:tcPr>
            <w:tcW w:w="1024" w:type="dxa"/>
            <w:tcBorders>
              <w:top w:val="single" w:sz="8" w:space="0" w:color="AEAEAE"/>
              <w:left w:val="nil"/>
              <w:bottom w:val="single" w:sz="8" w:space="0" w:color="AEAEAE"/>
              <w:right w:val="single" w:sz="8" w:space="0" w:color="E0E0E0"/>
            </w:tcBorders>
            <w:shd w:val="clear" w:color="auto" w:fill="FFFFFF"/>
          </w:tcPr>
          <w:p w14:paraId="5FC1D89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AA01E0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BAD03A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772FDD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nil"/>
            </w:tcBorders>
            <w:shd w:val="clear" w:color="auto" w:fill="FFFFFF"/>
          </w:tcPr>
          <w:p w14:paraId="3180A32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r>
      <w:tr w:rsidR="008879A7" w:rsidRPr="008879A7" w14:paraId="66BD9B6F"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078F7707"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V40 = 1</w:t>
            </w:r>
          </w:p>
        </w:tc>
        <w:tc>
          <w:tcPr>
            <w:tcW w:w="1024" w:type="dxa"/>
            <w:tcBorders>
              <w:top w:val="single" w:sz="8" w:space="0" w:color="AEAEAE"/>
              <w:left w:val="nil"/>
              <w:bottom w:val="single" w:sz="8" w:space="0" w:color="AEAEAE"/>
              <w:right w:val="single" w:sz="8" w:space="0" w:color="E0E0E0"/>
            </w:tcBorders>
            <w:shd w:val="clear" w:color="auto" w:fill="FFFFFF"/>
          </w:tcPr>
          <w:p w14:paraId="25D604B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E7E8FC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-.088</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5FB0B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.129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A0A74D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-.792</w:t>
            </w:r>
          </w:p>
        </w:tc>
        <w:tc>
          <w:tcPr>
            <w:tcW w:w="1407" w:type="dxa"/>
            <w:tcBorders>
              <w:top w:val="single" w:sz="8" w:space="0" w:color="AEAEAE"/>
              <w:left w:val="single" w:sz="8" w:space="0" w:color="E0E0E0"/>
              <w:bottom w:val="single" w:sz="8" w:space="0" w:color="AEAEAE"/>
              <w:right w:val="nil"/>
            </w:tcBorders>
            <w:shd w:val="clear" w:color="auto" w:fill="FFFFFF"/>
          </w:tcPr>
          <w:p w14:paraId="4E31C77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.615</w:t>
            </w:r>
          </w:p>
        </w:tc>
      </w:tr>
      <w:tr w:rsidR="008879A7" w:rsidRPr="008879A7" w14:paraId="005B1D02"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1300D98D"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V40 = 2</w:t>
            </w:r>
          </w:p>
        </w:tc>
        <w:tc>
          <w:tcPr>
            <w:tcW w:w="1024" w:type="dxa"/>
            <w:tcBorders>
              <w:top w:val="single" w:sz="8" w:space="0" w:color="AEAEAE"/>
              <w:left w:val="nil"/>
              <w:bottom w:val="single" w:sz="8" w:space="0" w:color="AEAEAE"/>
              <w:right w:val="single" w:sz="8" w:space="0" w:color="E0E0E0"/>
            </w:tcBorders>
            <w:shd w:val="clear" w:color="auto" w:fill="FFFFFF"/>
          </w:tcPr>
          <w:p w14:paraId="22A6C31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2977DD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C42A5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589998D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-.839</w:t>
            </w:r>
          </w:p>
        </w:tc>
        <w:tc>
          <w:tcPr>
            <w:tcW w:w="1407" w:type="dxa"/>
            <w:tcBorders>
              <w:top w:val="single" w:sz="8" w:space="0" w:color="AEAEAE"/>
              <w:left w:val="single" w:sz="8" w:space="0" w:color="E0E0E0"/>
              <w:bottom w:val="single" w:sz="8" w:space="0" w:color="AEAEAE"/>
              <w:right w:val="nil"/>
            </w:tcBorders>
            <w:shd w:val="clear" w:color="auto" w:fill="FFFFFF"/>
          </w:tcPr>
          <w:p w14:paraId="178910E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.200</w:t>
            </w:r>
          </w:p>
        </w:tc>
      </w:tr>
      <w:tr w:rsidR="008879A7" w:rsidRPr="008879A7" w14:paraId="2162E052"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42747F16"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V40 = 3</w:t>
            </w:r>
          </w:p>
        </w:tc>
        <w:tc>
          <w:tcPr>
            <w:tcW w:w="1024" w:type="dxa"/>
            <w:tcBorders>
              <w:top w:val="single" w:sz="8" w:space="0" w:color="AEAEAE"/>
              <w:left w:val="nil"/>
              <w:bottom w:val="single" w:sz="8" w:space="0" w:color="AEAEAE"/>
              <w:right w:val="single" w:sz="8" w:space="0" w:color="E0E0E0"/>
            </w:tcBorders>
            <w:shd w:val="clear" w:color="auto" w:fill="FFFFFF"/>
          </w:tcPr>
          <w:p w14:paraId="0A3C530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749E1D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-.305</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86A256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.058</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B2A165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-.778</w:t>
            </w:r>
          </w:p>
        </w:tc>
        <w:tc>
          <w:tcPr>
            <w:tcW w:w="1407" w:type="dxa"/>
            <w:tcBorders>
              <w:top w:val="single" w:sz="8" w:space="0" w:color="AEAEAE"/>
              <w:left w:val="single" w:sz="8" w:space="0" w:color="E0E0E0"/>
              <w:bottom w:val="single" w:sz="8" w:space="0" w:color="AEAEAE"/>
              <w:right w:val="nil"/>
            </w:tcBorders>
            <w:shd w:val="clear" w:color="auto" w:fill="FFFFFF"/>
          </w:tcPr>
          <w:p w14:paraId="38A808B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.168</w:t>
            </w:r>
          </w:p>
        </w:tc>
      </w:tr>
      <w:tr w:rsidR="008879A7" w:rsidRPr="008879A7" w14:paraId="0111179F"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69447816"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V40 = 4</w:t>
            </w:r>
          </w:p>
        </w:tc>
        <w:tc>
          <w:tcPr>
            <w:tcW w:w="1024" w:type="dxa"/>
            <w:tcBorders>
              <w:top w:val="single" w:sz="8" w:space="0" w:color="AEAEAE"/>
              <w:left w:val="nil"/>
              <w:bottom w:val="single" w:sz="8" w:space="0" w:color="AEAEAE"/>
              <w:right w:val="single" w:sz="8" w:space="0" w:color="E0E0E0"/>
            </w:tcBorders>
            <w:shd w:val="clear" w:color="auto" w:fill="FFFFFF"/>
          </w:tcPr>
          <w:p w14:paraId="02BFDD1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591102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-.243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924568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218145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-.657</w:t>
            </w:r>
          </w:p>
        </w:tc>
        <w:tc>
          <w:tcPr>
            <w:tcW w:w="1407" w:type="dxa"/>
            <w:tcBorders>
              <w:top w:val="single" w:sz="8" w:space="0" w:color="AEAEAE"/>
              <w:left w:val="single" w:sz="8" w:space="0" w:color="E0E0E0"/>
              <w:bottom w:val="single" w:sz="8" w:space="0" w:color="AEAEAE"/>
              <w:right w:val="nil"/>
            </w:tcBorders>
            <w:shd w:val="clear" w:color="auto" w:fill="FFFFFF"/>
          </w:tcPr>
          <w:p w14:paraId="70D045C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.171</w:t>
            </w:r>
          </w:p>
        </w:tc>
      </w:tr>
      <w:tr w:rsidR="008879A7" w:rsidRPr="008879A7" w14:paraId="681FDD10"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07C3E7C9"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V40 = 5</w:t>
            </w:r>
          </w:p>
        </w:tc>
        <w:tc>
          <w:tcPr>
            <w:tcW w:w="1024" w:type="dxa"/>
            <w:tcBorders>
              <w:top w:val="single" w:sz="8" w:space="0" w:color="AEAEAE"/>
              <w:left w:val="nil"/>
              <w:bottom w:val="single" w:sz="8" w:space="0" w:color="AEAEAE"/>
              <w:right w:val="single" w:sz="8" w:space="0" w:color="E0E0E0"/>
            </w:tcBorders>
            <w:shd w:val="clear" w:color="auto" w:fill="FFFFFF"/>
          </w:tcPr>
          <w:p w14:paraId="019FC64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985DF2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FCFB9F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6F1D588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-.313</w:t>
            </w:r>
          </w:p>
        </w:tc>
        <w:tc>
          <w:tcPr>
            <w:tcW w:w="1407" w:type="dxa"/>
            <w:tcBorders>
              <w:top w:val="single" w:sz="8" w:space="0" w:color="AEAEAE"/>
              <w:left w:val="single" w:sz="8" w:space="0" w:color="E0E0E0"/>
              <w:bottom w:val="single" w:sz="8" w:space="0" w:color="AEAEAE"/>
              <w:right w:val="nil"/>
            </w:tcBorders>
            <w:shd w:val="clear" w:color="auto" w:fill="FFFFFF"/>
          </w:tcPr>
          <w:p w14:paraId="53D9DDD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.352</w:t>
            </w:r>
          </w:p>
        </w:tc>
      </w:tr>
      <w:tr w:rsidR="008879A7" w:rsidRPr="008879A7" w14:paraId="04C98273"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2970A0DB"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V40 = 6</w:t>
            </w:r>
          </w:p>
        </w:tc>
        <w:tc>
          <w:tcPr>
            <w:tcW w:w="1024" w:type="dxa"/>
            <w:tcBorders>
              <w:top w:val="single" w:sz="8" w:space="0" w:color="AEAEAE"/>
              <w:left w:val="nil"/>
              <w:bottom w:val="single" w:sz="8" w:space="0" w:color="AEAEAE"/>
              <w:right w:val="single" w:sz="8" w:space="0" w:color="E0E0E0"/>
            </w:tcBorders>
            <w:shd w:val="clear" w:color="auto" w:fill="FFFFFF"/>
          </w:tcPr>
          <w:p w14:paraId="60D7B69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E83BDA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F10905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.024</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97ECC3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-.342</w:t>
            </w:r>
          </w:p>
        </w:tc>
        <w:tc>
          <w:tcPr>
            <w:tcW w:w="1407" w:type="dxa"/>
            <w:tcBorders>
              <w:top w:val="single" w:sz="8" w:space="0" w:color="AEAEAE"/>
              <w:left w:val="single" w:sz="8" w:space="0" w:color="E0E0E0"/>
              <w:bottom w:val="single" w:sz="8" w:space="0" w:color="AEAEAE"/>
              <w:right w:val="nil"/>
            </w:tcBorders>
            <w:shd w:val="clear" w:color="auto" w:fill="FFFFFF"/>
          </w:tcPr>
          <w:p w14:paraId="006D866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.261</w:t>
            </w:r>
          </w:p>
        </w:tc>
      </w:tr>
      <w:tr w:rsidR="008879A7" w:rsidRPr="008879A7" w14:paraId="2F35BDF7"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419E1A45"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V40 = 7</w:t>
            </w:r>
          </w:p>
        </w:tc>
        <w:tc>
          <w:tcPr>
            <w:tcW w:w="1024" w:type="dxa"/>
            <w:tcBorders>
              <w:top w:val="single" w:sz="8" w:space="0" w:color="AEAEAE"/>
              <w:left w:val="nil"/>
              <w:bottom w:val="single" w:sz="8" w:space="0" w:color="AEAEAE"/>
              <w:right w:val="single" w:sz="8" w:space="0" w:color="E0E0E0"/>
            </w:tcBorders>
            <w:shd w:val="clear" w:color="auto" w:fill="FFFFFF"/>
          </w:tcPr>
          <w:p w14:paraId="696299A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06AD41F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FC826E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7C88352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nil"/>
            </w:tcBorders>
            <w:shd w:val="clear" w:color="auto" w:fill="FFFFFF"/>
          </w:tcPr>
          <w:p w14:paraId="106C8BA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r>
      <w:tr w:rsidR="008879A7" w:rsidRPr="008879A7" w14:paraId="6BDACADB"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3BC566BA"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V41 = 1</w:t>
            </w:r>
          </w:p>
        </w:tc>
        <w:tc>
          <w:tcPr>
            <w:tcW w:w="1024" w:type="dxa"/>
            <w:tcBorders>
              <w:top w:val="single" w:sz="8" w:space="0" w:color="AEAEAE"/>
              <w:left w:val="nil"/>
              <w:bottom w:val="single" w:sz="8" w:space="0" w:color="AEAEAE"/>
              <w:right w:val="single" w:sz="8" w:space="0" w:color="E0E0E0"/>
            </w:tcBorders>
            <w:shd w:val="clear" w:color="auto" w:fill="FFFFFF"/>
          </w:tcPr>
          <w:p w14:paraId="1F02B7AD"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464D33FA"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.010</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ACFC64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.121</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FF65E1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-.671</w:t>
            </w:r>
          </w:p>
        </w:tc>
        <w:tc>
          <w:tcPr>
            <w:tcW w:w="1407" w:type="dxa"/>
            <w:tcBorders>
              <w:top w:val="single" w:sz="8" w:space="0" w:color="AEAEAE"/>
              <w:left w:val="single" w:sz="8" w:space="0" w:color="E0E0E0"/>
              <w:bottom w:val="single" w:sz="8" w:space="0" w:color="AEAEAE"/>
              <w:right w:val="nil"/>
            </w:tcBorders>
            <w:shd w:val="clear" w:color="auto" w:fill="FFFFFF"/>
          </w:tcPr>
          <w:p w14:paraId="1983AEE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.692</w:t>
            </w:r>
          </w:p>
        </w:tc>
      </w:tr>
      <w:tr w:rsidR="008879A7" w:rsidRPr="008879A7" w14:paraId="42CDC3A2"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43A53110"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V41 = 2</w:t>
            </w:r>
          </w:p>
        </w:tc>
        <w:tc>
          <w:tcPr>
            <w:tcW w:w="1024" w:type="dxa"/>
            <w:tcBorders>
              <w:top w:val="single" w:sz="8" w:space="0" w:color="AEAEAE"/>
              <w:left w:val="nil"/>
              <w:bottom w:val="single" w:sz="8" w:space="0" w:color="AEAEAE"/>
              <w:right w:val="single" w:sz="8" w:space="0" w:color="E0E0E0"/>
            </w:tcBorders>
            <w:shd w:val="clear" w:color="auto" w:fill="FFFFFF"/>
          </w:tcPr>
          <w:p w14:paraId="3358163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55A23C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.383</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7E1BB8F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.058</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08950CD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-.090</w:t>
            </w:r>
          </w:p>
        </w:tc>
        <w:tc>
          <w:tcPr>
            <w:tcW w:w="1407" w:type="dxa"/>
            <w:tcBorders>
              <w:top w:val="single" w:sz="8" w:space="0" w:color="AEAEAE"/>
              <w:left w:val="single" w:sz="8" w:space="0" w:color="E0E0E0"/>
              <w:bottom w:val="single" w:sz="8" w:space="0" w:color="AEAEAE"/>
              <w:right w:val="nil"/>
            </w:tcBorders>
            <w:shd w:val="clear" w:color="auto" w:fill="FFFFFF"/>
          </w:tcPr>
          <w:p w14:paraId="5919834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.857</w:t>
            </w:r>
          </w:p>
        </w:tc>
      </w:tr>
      <w:tr w:rsidR="008879A7" w:rsidRPr="008879A7" w14:paraId="3B04AAD2"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6AD70853"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V41 = 3</w:t>
            </w:r>
          </w:p>
        </w:tc>
        <w:tc>
          <w:tcPr>
            <w:tcW w:w="1024" w:type="dxa"/>
            <w:tcBorders>
              <w:top w:val="single" w:sz="8" w:space="0" w:color="AEAEAE"/>
              <w:left w:val="nil"/>
              <w:bottom w:val="single" w:sz="8" w:space="0" w:color="AEAEAE"/>
              <w:right w:val="single" w:sz="8" w:space="0" w:color="E0E0E0"/>
            </w:tcBorders>
            <w:shd w:val="clear" w:color="auto" w:fill="FFFFFF"/>
          </w:tcPr>
          <w:p w14:paraId="5667364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099879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2CF2E71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.055</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7D97811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-.404</w:t>
            </w:r>
          </w:p>
        </w:tc>
        <w:tc>
          <w:tcPr>
            <w:tcW w:w="1407" w:type="dxa"/>
            <w:tcBorders>
              <w:top w:val="single" w:sz="8" w:space="0" w:color="AEAEAE"/>
              <w:left w:val="single" w:sz="8" w:space="0" w:color="E0E0E0"/>
              <w:bottom w:val="single" w:sz="8" w:space="0" w:color="AEAEAE"/>
              <w:right w:val="nil"/>
            </w:tcBorders>
            <w:shd w:val="clear" w:color="auto" w:fill="FFFFFF"/>
          </w:tcPr>
          <w:p w14:paraId="38414519"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.517</w:t>
            </w:r>
          </w:p>
        </w:tc>
      </w:tr>
      <w:tr w:rsidR="008879A7" w:rsidRPr="008879A7" w14:paraId="687E0CD7"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3D1A12DB"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V41 = 4</w:t>
            </w:r>
          </w:p>
        </w:tc>
        <w:tc>
          <w:tcPr>
            <w:tcW w:w="1024" w:type="dxa"/>
            <w:tcBorders>
              <w:top w:val="single" w:sz="8" w:space="0" w:color="AEAEAE"/>
              <w:left w:val="nil"/>
              <w:bottom w:val="single" w:sz="8" w:space="0" w:color="AEAEAE"/>
              <w:right w:val="single" w:sz="8" w:space="0" w:color="E0E0E0"/>
            </w:tcBorders>
            <w:shd w:val="clear" w:color="auto" w:fill="FFFFFF"/>
          </w:tcPr>
          <w:p w14:paraId="2C5229D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71CAFA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.376</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528B14C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.051</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3CA9B75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-.068</w:t>
            </w:r>
          </w:p>
        </w:tc>
        <w:tc>
          <w:tcPr>
            <w:tcW w:w="1407" w:type="dxa"/>
            <w:tcBorders>
              <w:top w:val="single" w:sz="8" w:space="0" w:color="AEAEAE"/>
              <w:left w:val="single" w:sz="8" w:space="0" w:color="E0E0E0"/>
              <w:bottom w:val="single" w:sz="8" w:space="0" w:color="AEAEAE"/>
              <w:right w:val="nil"/>
            </w:tcBorders>
            <w:shd w:val="clear" w:color="auto" w:fill="FFFFFF"/>
          </w:tcPr>
          <w:p w14:paraId="55EC622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.820</w:t>
            </w:r>
          </w:p>
        </w:tc>
      </w:tr>
      <w:tr w:rsidR="008879A7" w:rsidRPr="008879A7" w14:paraId="0C229966"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46BF876C"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V41 = 5</w:t>
            </w:r>
          </w:p>
        </w:tc>
        <w:tc>
          <w:tcPr>
            <w:tcW w:w="1024" w:type="dxa"/>
            <w:tcBorders>
              <w:top w:val="single" w:sz="8" w:space="0" w:color="AEAEAE"/>
              <w:left w:val="nil"/>
              <w:bottom w:val="single" w:sz="8" w:space="0" w:color="AEAEAE"/>
              <w:right w:val="single" w:sz="8" w:space="0" w:color="E0E0E0"/>
            </w:tcBorders>
            <w:shd w:val="clear" w:color="auto" w:fill="FFFFFF"/>
          </w:tcPr>
          <w:p w14:paraId="3CBB029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D602CB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.152</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9FF64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.040</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1CB778B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-.241</w:t>
            </w:r>
          </w:p>
        </w:tc>
        <w:tc>
          <w:tcPr>
            <w:tcW w:w="1407" w:type="dxa"/>
            <w:tcBorders>
              <w:top w:val="single" w:sz="8" w:space="0" w:color="AEAEAE"/>
              <w:left w:val="single" w:sz="8" w:space="0" w:color="E0E0E0"/>
              <w:bottom w:val="single" w:sz="8" w:space="0" w:color="AEAEAE"/>
              <w:right w:val="nil"/>
            </w:tcBorders>
            <w:shd w:val="clear" w:color="auto" w:fill="FFFFFF"/>
          </w:tcPr>
          <w:p w14:paraId="459F523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.544</w:t>
            </w:r>
          </w:p>
        </w:tc>
      </w:tr>
      <w:tr w:rsidR="008879A7" w:rsidRPr="008879A7" w14:paraId="346C6F3D"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26638A1D"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V41 = 6</w:t>
            </w:r>
          </w:p>
        </w:tc>
        <w:tc>
          <w:tcPr>
            <w:tcW w:w="1024" w:type="dxa"/>
            <w:tcBorders>
              <w:top w:val="single" w:sz="8" w:space="0" w:color="AEAEAE"/>
              <w:left w:val="nil"/>
              <w:bottom w:val="single" w:sz="8" w:space="0" w:color="AEAEAE"/>
              <w:right w:val="single" w:sz="8" w:space="0" w:color="E0E0E0"/>
            </w:tcBorders>
            <w:shd w:val="clear" w:color="auto" w:fill="FFFFFF"/>
          </w:tcPr>
          <w:p w14:paraId="53B64CE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3B0457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.114</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6C664F2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.039</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2BF88D33"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-.273</w:t>
            </w:r>
          </w:p>
        </w:tc>
        <w:tc>
          <w:tcPr>
            <w:tcW w:w="1407" w:type="dxa"/>
            <w:tcBorders>
              <w:top w:val="single" w:sz="8" w:space="0" w:color="AEAEAE"/>
              <w:left w:val="single" w:sz="8" w:space="0" w:color="E0E0E0"/>
              <w:bottom w:val="single" w:sz="8" w:space="0" w:color="AEAEAE"/>
              <w:right w:val="nil"/>
            </w:tcBorders>
            <w:shd w:val="clear" w:color="auto" w:fill="FFFFFF"/>
          </w:tcPr>
          <w:p w14:paraId="794DB02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.500</w:t>
            </w:r>
          </w:p>
        </w:tc>
      </w:tr>
      <w:tr w:rsidR="008879A7" w:rsidRPr="008879A7" w14:paraId="3FA3BA42" w14:textId="77777777">
        <w:tblPrEx>
          <w:tblCellMar>
            <w:top w:w="0" w:type="dxa"/>
            <w:bottom w:w="0" w:type="dxa"/>
          </w:tblCellMar>
        </w:tblPrEx>
        <w:trPr>
          <w:cantSplit/>
        </w:trPr>
        <w:tc>
          <w:tcPr>
            <w:tcW w:w="2294" w:type="dxa"/>
            <w:tcBorders>
              <w:top w:val="single" w:sz="8" w:space="0" w:color="AEAEAE"/>
              <w:left w:val="nil"/>
              <w:bottom w:val="single" w:sz="8" w:space="0" w:color="AEAEAE"/>
              <w:right w:val="nil"/>
            </w:tcBorders>
            <w:shd w:val="clear" w:color="auto" w:fill="E0E0E0"/>
          </w:tcPr>
          <w:p w14:paraId="3EF43653"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V41 = 7</w:t>
            </w:r>
          </w:p>
        </w:tc>
        <w:tc>
          <w:tcPr>
            <w:tcW w:w="1024" w:type="dxa"/>
            <w:tcBorders>
              <w:top w:val="single" w:sz="8" w:space="0" w:color="AEAEAE"/>
              <w:left w:val="nil"/>
              <w:bottom w:val="single" w:sz="8" w:space="0" w:color="AEAEAE"/>
              <w:right w:val="single" w:sz="8" w:space="0" w:color="E0E0E0"/>
            </w:tcBorders>
            <w:shd w:val="clear" w:color="auto" w:fill="FFFFFF"/>
          </w:tcPr>
          <w:p w14:paraId="39D4ECB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3889E4CC"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14:paraId="1D1B486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14:paraId="3AB5F056"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c>
          <w:tcPr>
            <w:tcW w:w="1407" w:type="dxa"/>
            <w:tcBorders>
              <w:top w:val="single" w:sz="8" w:space="0" w:color="AEAEAE"/>
              <w:left w:val="single" w:sz="8" w:space="0" w:color="E0E0E0"/>
              <w:bottom w:val="single" w:sz="8" w:space="0" w:color="AEAEAE"/>
              <w:right w:val="nil"/>
            </w:tcBorders>
            <w:shd w:val="clear" w:color="auto" w:fill="FFFFFF"/>
          </w:tcPr>
          <w:p w14:paraId="70D1E74F"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w:t>
            </w:r>
            <w:r w:rsidRPr="008879A7">
              <w:rPr>
                <w:rFonts w:ascii="Arial" w:hAnsi="Arial" w:cs="Arial"/>
                <w:color w:val="010205"/>
                <w:sz w:val="18"/>
                <w:szCs w:val="18"/>
                <w:vertAlign w:val="superscript"/>
              </w:rPr>
              <w:t>d</w:t>
            </w:r>
          </w:p>
        </w:tc>
      </w:tr>
      <w:tr w:rsidR="008879A7" w:rsidRPr="008879A7" w14:paraId="23D7888F" w14:textId="77777777">
        <w:tblPrEx>
          <w:tblCellMar>
            <w:top w:w="0" w:type="dxa"/>
            <w:bottom w:w="0" w:type="dxa"/>
          </w:tblCellMar>
        </w:tblPrEx>
        <w:trPr>
          <w:cantSplit/>
        </w:trPr>
        <w:tc>
          <w:tcPr>
            <w:tcW w:w="2294" w:type="dxa"/>
            <w:tcBorders>
              <w:top w:val="single" w:sz="8" w:space="0" w:color="AEAEAE"/>
              <w:left w:val="nil"/>
              <w:bottom w:val="single" w:sz="8" w:space="0" w:color="152935"/>
              <w:right w:val="nil"/>
            </w:tcBorders>
            <w:shd w:val="clear" w:color="auto" w:fill="E0E0E0"/>
          </w:tcPr>
          <w:p w14:paraId="072D59DC"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V44</w:t>
            </w:r>
          </w:p>
        </w:tc>
        <w:tc>
          <w:tcPr>
            <w:tcW w:w="1024" w:type="dxa"/>
            <w:tcBorders>
              <w:top w:val="single" w:sz="8" w:space="0" w:color="AEAEAE"/>
              <w:left w:val="nil"/>
              <w:bottom w:val="single" w:sz="8" w:space="0" w:color="152935"/>
              <w:right w:val="single" w:sz="8" w:space="0" w:color="E0E0E0"/>
            </w:tcBorders>
            <w:shd w:val="clear" w:color="auto" w:fill="FFFFFF"/>
          </w:tcPr>
          <w:p w14:paraId="71DD0544"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471FF252"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.074</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14:paraId="2FA00DE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.001</w:t>
            </w:r>
          </w:p>
        </w:tc>
        <w:tc>
          <w:tcPr>
            <w:tcW w:w="1407" w:type="dxa"/>
            <w:tcBorders>
              <w:top w:val="single" w:sz="8" w:space="0" w:color="AEAEAE"/>
              <w:left w:val="single" w:sz="8" w:space="0" w:color="E0E0E0"/>
              <w:bottom w:val="single" w:sz="8" w:space="0" w:color="152935"/>
              <w:right w:val="single" w:sz="8" w:space="0" w:color="E0E0E0"/>
            </w:tcBorders>
            <w:shd w:val="clear" w:color="auto" w:fill="FFFFFF"/>
          </w:tcPr>
          <w:p w14:paraId="2A432AA5"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.022</w:t>
            </w:r>
          </w:p>
        </w:tc>
        <w:tc>
          <w:tcPr>
            <w:tcW w:w="1407" w:type="dxa"/>
            <w:tcBorders>
              <w:top w:val="single" w:sz="8" w:space="0" w:color="AEAEAE"/>
              <w:left w:val="single" w:sz="8" w:space="0" w:color="E0E0E0"/>
              <w:bottom w:val="single" w:sz="8" w:space="0" w:color="152935"/>
              <w:right w:val="nil"/>
            </w:tcBorders>
            <w:shd w:val="clear" w:color="auto" w:fill="FFFFFF"/>
          </w:tcPr>
          <w:p w14:paraId="6DC7C4D8"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.126</w:t>
            </w:r>
          </w:p>
        </w:tc>
      </w:tr>
      <w:tr w:rsidR="008879A7" w:rsidRPr="008879A7" w14:paraId="2A7F2D96"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tcPr>
          <w:p w14:paraId="1E9E939E"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 xml:space="preserve">a. Dependent Variable: </w:t>
            </w:r>
            <w:proofErr w:type="spellStart"/>
            <w:r w:rsidRPr="008879A7">
              <w:rPr>
                <w:rFonts w:ascii="Arial" w:hAnsi="Arial" w:cs="Arial"/>
                <w:color w:val="010205"/>
                <w:sz w:val="18"/>
                <w:szCs w:val="18"/>
              </w:rPr>
              <w:t>Presenteeism_days</w:t>
            </w:r>
            <w:proofErr w:type="spellEnd"/>
            <w:r w:rsidRPr="008879A7">
              <w:rPr>
                <w:rFonts w:ascii="Arial" w:hAnsi="Arial" w:cs="Arial"/>
                <w:color w:val="010205"/>
                <w:sz w:val="18"/>
                <w:szCs w:val="18"/>
              </w:rPr>
              <w:t xml:space="preserve"> </w:t>
            </w:r>
          </w:p>
          <w:p w14:paraId="4491DAAE"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(categorical variable)</w:t>
            </w:r>
          </w:p>
        </w:tc>
      </w:tr>
      <w:tr w:rsidR="008879A7" w:rsidRPr="008879A7" w14:paraId="2E76C644"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tcPr>
          <w:p w14:paraId="6C04AE4E"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 xml:space="preserve">b. Model: (Intercept), Financial Uncertainty </w:t>
            </w:r>
          </w:p>
          <w:p w14:paraId="0A9FC5E0"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as predictor variable, V38, V39, V40, V41, V44</w:t>
            </w:r>
          </w:p>
        </w:tc>
      </w:tr>
      <w:tr w:rsidR="008879A7" w:rsidRPr="008879A7" w14:paraId="43745DC8"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tcPr>
          <w:p w14:paraId="1DA0F8C5"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c. Assume standard reference priors.</w:t>
            </w:r>
          </w:p>
        </w:tc>
      </w:tr>
      <w:tr w:rsidR="008879A7" w:rsidRPr="008879A7" w14:paraId="14F49EED" w14:textId="77777777">
        <w:tblPrEx>
          <w:tblCellMar>
            <w:top w:w="0" w:type="dxa"/>
            <w:bottom w:w="0" w:type="dxa"/>
          </w:tblCellMar>
        </w:tblPrEx>
        <w:trPr>
          <w:cantSplit/>
        </w:trPr>
        <w:tc>
          <w:tcPr>
            <w:tcW w:w="8180" w:type="dxa"/>
            <w:gridSpan w:val="6"/>
            <w:tcBorders>
              <w:top w:val="nil"/>
              <w:left w:val="nil"/>
              <w:bottom w:val="nil"/>
              <w:right w:val="nil"/>
            </w:tcBorders>
            <w:shd w:val="clear" w:color="auto" w:fill="FFFFFF"/>
          </w:tcPr>
          <w:p w14:paraId="623E8EAE"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d. This parameter is redundant. Posterior statistics are not calculated.</w:t>
            </w:r>
          </w:p>
        </w:tc>
      </w:tr>
    </w:tbl>
    <w:p w14:paraId="0781AB4A" w14:textId="77777777" w:rsidR="008879A7" w:rsidRP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4E0E394A" w14:textId="77777777" w:rsidR="008879A7" w:rsidRPr="008879A7" w:rsidRDefault="008879A7" w:rsidP="008879A7">
      <w:pPr>
        <w:autoSpaceDE w:val="0"/>
        <w:autoSpaceDN w:val="0"/>
        <w:adjustRightInd w:val="0"/>
        <w:spacing w:after="0" w:line="240" w:lineRule="auto"/>
        <w:rPr>
          <w:rFonts w:ascii="Times New Roman" w:hAnsi="Times New Roman" w:cs="Times New Roman"/>
          <w:sz w:val="24"/>
          <w:szCs w:val="24"/>
        </w:rPr>
      </w:pPr>
    </w:p>
    <w:tbl>
      <w:tblPr>
        <w:tblW w:w="734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454"/>
        <w:gridCol w:w="1024"/>
        <w:gridCol w:w="1024"/>
        <w:gridCol w:w="1024"/>
        <w:gridCol w:w="1408"/>
        <w:gridCol w:w="1408"/>
      </w:tblGrid>
      <w:tr w:rsidR="008879A7" w:rsidRPr="008879A7" w14:paraId="51B7707F" w14:textId="77777777">
        <w:tblPrEx>
          <w:tblCellMar>
            <w:top w:w="0" w:type="dxa"/>
            <w:bottom w:w="0" w:type="dxa"/>
          </w:tblCellMar>
        </w:tblPrEx>
        <w:trPr>
          <w:cantSplit/>
        </w:trPr>
        <w:tc>
          <w:tcPr>
            <w:tcW w:w="7339" w:type="dxa"/>
            <w:gridSpan w:val="6"/>
            <w:tcBorders>
              <w:top w:val="nil"/>
              <w:left w:val="nil"/>
              <w:bottom w:val="nil"/>
              <w:right w:val="nil"/>
            </w:tcBorders>
            <w:shd w:val="clear" w:color="auto" w:fill="FFFFFF"/>
            <w:vAlign w:val="center"/>
          </w:tcPr>
          <w:p w14:paraId="12B8AC52"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010205"/>
              </w:rPr>
            </w:pPr>
            <w:r w:rsidRPr="008879A7">
              <w:rPr>
                <w:rFonts w:ascii="Arial" w:hAnsi="Arial" w:cs="Arial"/>
                <w:b/>
                <w:bCs/>
                <w:color w:val="010205"/>
              </w:rPr>
              <w:t xml:space="preserve">Bayesian Estimates of Error </w:t>
            </w:r>
            <w:proofErr w:type="spellStart"/>
            <w:r w:rsidRPr="008879A7">
              <w:rPr>
                <w:rFonts w:ascii="Arial" w:hAnsi="Arial" w:cs="Arial"/>
                <w:b/>
                <w:bCs/>
                <w:color w:val="010205"/>
              </w:rPr>
              <w:t>Variance</w:t>
            </w:r>
            <w:r w:rsidRPr="008879A7">
              <w:rPr>
                <w:rFonts w:ascii="Arial" w:hAnsi="Arial" w:cs="Arial"/>
                <w:b/>
                <w:bCs/>
                <w:color w:val="010205"/>
                <w:vertAlign w:val="superscript"/>
              </w:rPr>
              <w:t>a</w:t>
            </w:r>
            <w:proofErr w:type="spellEnd"/>
          </w:p>
        </w:tc>
      </w:tr>
      <w:tr w:rsidR="008879A7" w:rsidRPr="008879A7" w14:paraId="4BE63D0A" w14:textId="77777777">
        <w:tblPrEx>
          <w:tblCellMar>
            <w:top w:w="0" w:type="dxa"/>
            <w:bottom w:w="0" w:type="dxa"/>
          </w:tblCellMar>
        </w:tblPrEx>
        <w:trPr>
          <w:cantSplit/>
        </w:trPr>
        <w:tc>
          <w:tcPr>
            <w:tcW w:w="1453" w:type="dxa"/>
            <w:vMerge w:val="restart"/>
            <w:tcBorders>
              <w:top w:val="nil"/>
              <w:left w:val="nil"/>
              <w:bottom w:val="nil"/>
              <w:right w:val="nil"/>
            </w:tcBorders>
            <w:shd w:val="clear" w:color="auto" w:fill="FFFFFF"/>
            <w:vAlign w:val="bottom"/>
          </w:tcPr>
          <w:p w14:paraId="0563A683"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Parameter</w:t>
            </w:r>
          </w:p>
        </w:tc>
        <w:tc>
          <w:tcPr>
            <w:tcW w:w="3072" w:type="dxa"/>
            <w:gridSpan w:val="3"/>
            <w:tcBorders>
              <w:top w:val="nil"/>
              <w:left w:val="nil"/>
              <w:bottom w:val="nil"/>
              <w:right w:val="single" w:sz="8" w:space="0" w:color="E0E0E0"/>
            </w:tcBorders>
            <w:shd w:val="clear" w:color="auto" w:fill="FFFFFF"/>
            <w:vAlign w:val="bottom"/>
          </w:tcPr>
          <w:p w14:paraId="5AF7920E"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Posterior</w:t>
            </w:r>
          </w:p>
        </w:tc>
        <w:tc>
          <w:tcPr>
            <w:tcW w:w="2814" w:type="dxa"/>
            <w:gridSpan w:val="2"/>
            <w:tcBorders>
              <w:top w:val="nil"/>
              <w:left w:val="single" w:sz="8" w:space="0" w:color="E0E0E0"/>
              <w:bottom w:val="nil"/>
              <w:right w:val="nil"/>
            </w:tcBorders>
            <w:shd w:val="clear" w:color="auto" w:fill="FFFFFF"/>
            <w:vAlign w:val="bottom"/>
          </w:tcPr>
          <w:p w14:paraId="66AB1234"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95% Credible Interval</w:t>
            </w:r>
          </w:p>
        </w:tc>
      </w:tr>
      <w:tr w:rsidR="008879A7" w:rsidRPr="008879A7" w14:paraId="6D6FBC0E" w14:textId="77777777">
        <w:tblPrEx>
          <w:tblCellMar>
            <w:top w:w="0" w:type="dxa"/>
            <w:bottom w:w="0" w:type="dxa"/>
          </w:tblCellMar>
        </w:tblPrEx>
        <w:trPr>
          <w:cantSplit/>
        </w:trPr>
        <w:tc>
          <w:tcPr>
            <w:tcW w:w="1453" w:type="dxa"/>
            <w:vMerge/>
            <w:tcBorders>
              <w:top w:val="nil"/>
              <w:left w:val="nil"/>
              <w:bottom w:val="nil"/>
              <w:right w:val="nil"/>
            </w:tcBorders>
            <w:shd w:val="clear" w:color="auto" w:fill="FFFFFF"/>
            <w:vAlign w:val="bottom"/>
          </w:tcPr>
          <w:p w14:paraId="5AC094E7" w14:textId="77777777" w:rsidR="008879A7" w:rsidRPr="008879A7" w:rsidRDefault="008879A7" w:rsidP="008879A7">
            <w:pPr>
              <w:autoSpaceDE w:val="0"/>
              <w:autoSpaceDN w:val="0"/>
              <w:adjustRightInd w:val="0"/>
              <w:spacing w:after="0" w:line="24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14:paraId="291D4DD1"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Mode</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43F13FB"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Mean</w:t>
            </w:r>
          </w:p>
        </w:tc>
        <w:tc>
          <w:tcPr>
            <w:tcW w:w="1024" w:type="dxa"/>
            <w:tcBorders>
              <w:top w:val="nil"/>
              <w:left w:val="single" w:sz="8" w:space="0" w:color="E0E0E0"/>
              <w:bottom w:val="single" w:sz="8" w:space="0" w:color="152935"/>
              <w:right w:val="single" w:sz="8" w:space="0" w:color="E0E0E0"/>
            </w:tcBorders>
            <w:shd w:val="clear" w:color="auto" w:fill="FFFFFF"/>
            <w:vAlign w:val="bottom"/>
          </w:tcPr>
          <w:p w14:paraId="62EE61D8"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Variance</w:t>
            </w:r>
          </w:p>
        </w:tc>
        <w:tc>
          <w:tcPr>
            <w:tcW w:w="1407" w:type="dxa"/>
            <w:tcBorders>
              <w:top w:val="nil"/>
              <w:left w:val="single" w:sz="8" w:space="0" w:color="E0E0E0"/>
              <w:bottom w:val="single" w:sz="8" w:space="0" w:color="152935"/>
              <w:right w:val="single" w:sz="8" w:space="0" w:color="E0E0E0"/>
            </w:tcBorders>
            <w:shd w:val="clear" w:color="auto" w:fill="FFFFFF"/>
            <w:vAlign w:val="bottom"/>
          </w:tcPr>
          <w:p w14:paraId="6E2C7741"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Lower Bound</w:t>
            </w:r>
          </w:p>
        </w:tc>
        <w:tc>
          <w:tcPr>
            <w:tcW w:w="1407" w:type="dxa"/>
            <w:tcBorders>
              <w:top w:val="nil"/>
              <w:left w:val="single" w:sz="8" w:space="0" w:color="E0E0E0"/>
              <w:bottom w:val="single" w:sz="8" w:space="0" w:color="152935"/>
              <w:right w:val="nil"/>
            </w:tcBorders>
            <w:shd w:val="clear" w:color="auto" w:fill="FFFFFF"/>
            <w:vAlign w:val="bottom"/>
          </w:tcPr>
          <w:p w14:paraId="3AE7E602" w14:textId="77777777" w:rsidR="008879A7" w:rsidRPr="008879A7" w:rsidRDefault="008879A7" w:rsidP="008879A7">
            <w:pPr>
              <w:autoSpaceDE w:val="0"/>
              <w:autoSpaceDN w:val="0"/>
              <w:adjustRightInd w:val="0"/>
              <w:spacing w:after="0" w:line="320" w:lineRule="atLeast"/>
              <w:ind w:left="60" w:right="60"/>
              <w:jc w:val="center"/>
              <w:rPr>
                <w:rFonts w:ascii="Arial" w:hAnsi="Arial" w:cs="Arial"/>
                <w:color w:val="264A60"/>
                <w:sz w:val="18"/>
                <w:szCs w:val="18"/>
              </w:rPr>
            </w:pPr>
            <w:r w:rsidRPr="008879A7">
              <w:rPr>
                <w:rFonts w:ascii="Arial" w:hAnsi="Arial" w:cs="Arial"/>
                <w:color w:val="264A60"/>
                <w:sz w:val="18"/>
                <w:szCs w:val="18"/>
              </w:rPr>
              <w:t>Upper Bound</w:t>
            </w:r>
          </w:p>
        </w:tc>
      </w:tr>
      <w:tr w:rsidR="008879A7" w:rsidRPr="008879A7" w14:paraId="37DFA5CB" w14:textId="77777777">
        <w:tblPrEx>
          <w:tblCellMar>
            <w:top w:w="0" w:type="dxa"/>
            <w:bottom w:w="0" w:type="dxa"/>
          </w:tblCellMar>
        </w:tblPrEx>
        <w:trPr>
          <w:cantSplit/>
        </w:trPr>
        <w:tc>
          <w:tcPr>
            <w:tcW w:w="1453" w:type="dxa"/>
            <w:tcBorders>
              <w:top w:val="single" w:sz="8" w:space="0" w:color="152935"/>
              <w:left w:val="nil"/>
              <w:bottom w:val="single" w:sz="8" w:space="0" w:color="152935"/>
              <w:right w:val="nil"/>
            </w:tcBorders>
            <w:shd w:val="clear" w:color="auto" w:fill="E0E0E0"/>
          </w:tcPr>
          <w:p w14:paraId="728E636A" w14:textId="77777777" w:rsidR="008879A7" w:rsidRPr="008879A7" w:rsidRDefault="008879A7" w:rsidP="008879A7">
            <w:pPr>
              <w:autoSpaceDE w:val="0"/>
              <w:autoSpaceDN w:val="0"/>
              <w:adjustRightInd w:val="0"/>
              <w:spacing w:after="0" w:line="320" w:lineRule="atLeast"/>
              <w:ind w:left="60" w:right="60"/>
              <w:rPr>
                <w:rFonts w:ascii="Arial" w:hAnsi="Arial" w:cs="Arial"/>
                <w:color w:val="264A60"/>
                <w:sz w:val="18"/>
                <w:szCs w:val="18"/>
              </w:rPr>
            </w:pPr>
            <w:r w:rsidRPr="008879A7">
              <w:rPr>
                <w:rFonts w:ascii="Arial" w:hAnsi="Arial" w:cs="Arial"/>
                <w:color w:val="264A60"/>
                <w:sz w:val="18"/>
                <w:szCs w:val="18"/>
              </w:rPr>
              <w:t>Error variance</w:t>
            </w:r>
          </w:p>
        </w:tc>
        <w:tc>
          <w:tcPr>
            <w:tcW w:w="1024" w:type="dxa"/>
            <w:tcBorders>
              <w:top w:val="single" w:sz="8" w:space="0" w:color="152935"/>
              <w:left w:val="nil"/>
              <w:bottom w:val="single" w:sz="8" w:space="0" w:color="152935"/>
              <w:right w:val="single" w:sz="8" w:space="0" w:color="E0E0E0"/>
            </w:tcBorders>
            <w:shd w:val="clear" w:color="auto" w:fill="FFFFFF"/>
          </w:tcPr>
          <w:p w14:paraId="5B88BCF0"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.272</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27C51E87"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.278</w:t>
            </w:r>
          </w:p>
        </w:tc>
        <w:tc>
          <w:tcPr>
            <w:tcW w:w="1024" w:type="dxa"/>
            <w:tcBorders>
              <w:top w:val="single" w:sz="8" w:space="0" w:color="152935"/>
              <w:left w:val="single" w:sz="8" w:space="0" w:color="E0E0E0"/>
              <w:bottom w:val="single" w:sz="8" w:space="0" w:color="152935"/>
              <w:right w:val="single" w:sz="8" w:space="0" w:color="E0E0E0"/>
            </w:tcBorders>
            <w:shd w:val="clear" w:color="auto" w:fill="FFFFFF"/>
          </w:tcPr>
          <w:p w14:paraId="5030E4A1"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.001</w:t>
            </w:r>
          </w:p>
        </w:tc>
        <w:tc>
          <w:tcPr>
            <w:tcW w:w="1407" w:type="dxa"/>
            <w:tcBorders>
              <w:top w:val="single" w:sz="8" w:space="0" w:color="152935"/>
              <w:left w:val="single" w:sz="8" w:space="0" w:color="E0E0E0"/>
              <w:bottom w:val="single" w:sz="8" w:space="0" w:color="152935"/>
              <w:right w:val="single" w:sz="8" w:space="0" w:color="E0E0E0"/>
            </w:tcBorders>
            <w:shd w:val="clear" w:color="auto" w:fill="FFFFFF"/>
          </w:tcPr>
          <w:p w14:paraId="7EBFC82E"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.225</w:t>
            </w:r>
          </w:p>
        </w:tc>
        <w:tc>
          <w:tcPr>
            <w:tcW w:w="1407" w:type="dxa"/>
            <w:tcBorders>
              <w:top w:val="single" w:sz="8" w:space="0" w:color="152935"/>
              <w:left w:val="single" w:sz="8" w:space="0" w:color="E0E0E0"/>
              <w:bottom w:val="single" w:sz="8" w:space="0" w:color="152935"/>
              <w:right w:val="nil"/>
            </w:tcBorders>
            <w:shd w:val="clear" w:color="auto" w:fill="FFFFFF"/>
          </w:tcPr>
          <w:p w14:paraId="1E6F88CB" w14:textId="77777777" w:rsidR="008879A7" w:rsidRPr="008879A7" w:rsidRDefault="008879A7" w:rsidP="008879A7">
            <w:pPr>
              <w:autoSpaceDE w:val="0"/>
              <w:autoSpaceDN w:val="0"/>
              <w:adjustRightInd w:val="0"/>
              <w:spacing w:after="0" w:line="320" w:lineRule="atLeast"/>
              <w:ind w:left="60" w:right="60"/>
              <w:jc w:val="right"/>
              <w:rPr>
                <w:rFonts w:ascii="Arial" w:hAnsi="Arial" w:cs="Arial"/>
                <w:color w:val="010205"/>
                <w:sz w:val="18"/>
                <w:szCs w:val="18"/>
              </w:rPr>
            </w:pPr>
            <w:r w:rsidRPr="008879A7">
              <w:rPr>
                <w:rFonts w:ascii="Arial" w:hAnsi="Arial" w:cs="Arial"/>
                <w:color w:val="010205"/>
                <w:sz w:val="18"/>
                <w:szCs w:val="18"/>
              </w:rPr>
              <w:t>.343</w:t>
            </w:r>
          </w:p>
        </w:tc>
      </w:tr>
      <w:tr w:rsidR="008879A7" w:rsidRPr="008879A7" w14:paraId="7BEA9104" w14:textId="77777777">
        <w:tblPrEx>
          <w:tblCellMar>
            <w:top w:w="0" w:type="dxa"/>
            <w:bottom w:w="0" w:type="dxa"/>
          </w:tblCellMar>
        </w:tblPrEx>
        <w:trPr>
          <w:cantSplit/>
        </w:trPr>
        <w:tc>
          <w:tcPr>
            <w:tcW w:w="7339" w:type="dxa"/>
            <w:gridSpan w:val="6"/>
            <w:tcBorders>
              <w:top w:val="nil"/>
              <w:left w:val="nil"/>
              <w:bottom w:val="nil"/>
              <w:right w:val="nil"/>
            </w:tcBorders>
            <w:shd w:val="clear" w:color="auto" w:fill="FFFFFF"/>
          </w:tcPr>
          <w:p w14:paraId="19E8329E" w14:textId="77777777" w:rsidR="008879A7" w:rsidRPr="008879A7" w:rsidRDefault="008879A7" w:rsidP="008879A7">
            <w:pPr>
              <w:autoSpaceDE w:val="0"/>
              <w:autoSpaceDN w:val="0"/>
              <w:adjustRightInd w:val="0"/>
              <w:spacing w:after="0" w:line="320" w:lineRule="atLeast"/>
              <w:ind w:left="60" w:right="60"/>
              <w:rPr>
                <w:rFonts w:ascii="Arial" w:hAnsi="Arial" w:cs="Arial"/>
                <w:color w:val="010205"/>
                <w:sz w:val="18"/>
                <w:szCs w:val="18"/>
              </w:rPr>
            </w:pPr>
            <w:r w:rsidRPr="008879A7">
              <w:rPr>
                <w:rFonts w:ascii="Arial" w:hAnsi="Arial" w:cs="Arial"/>
                <w:color w:val="010205"/>
                <w:sz w:val="18"/>
                <w:szCs w:val="18"/>
              </w:rPr>
              <w:t>a. Assume standard reference priors.</w:t>
            </w:r>
          </w:p>
        </w:tc>
      </w:tr>
    </w:tbl>
    <w:p w14:paraId="70CA3A71" w14:textId="77777777" w:rsidR="008879A7" w:rsidRP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085EFE1A" w14:textId="1930E1C9"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0352A2AE" w14:textId="1437ABB4"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36C2DE9A" w14:textId="6CE28BFD"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4A216524" w14:textId="7E31F635"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5DBF512E" w14:textId="0F9A2A5B"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285793F7" w14:textId="42D43955"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62A83A1C" w14:textId="6ACA21E8"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6783A409" w14:textId="4038D6B2"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5F9133F1" w14:textId="6082971D"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0CEC2953" w14:textId="5AFA1D4F"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48433677" w14:textId="558D5A1B"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2AC6A6B6" w14:textId="21F652FC"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01DA503D" w14:textId="2F44DA9A"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7F830063" w14:textId="5FB2E0E1"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6C6A0EF2" w14:textId="3BCC59BE"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299BA35E" w14:textId="52D722B7"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225BB0F5" w14:textId="32A05EC0"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4D5FCAFC" w14:textId="6EFAFA37"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2D5DF390" w14:textId="08559E3A"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57A3D26A" w14:textId="42CC00F4"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274D5F51" w14:textId="5E4E75A0"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030354BE" w14:textId="31D6B9CB" w:rsid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15A26024" w14:textId="77777777" w:rsidR="008879A7" w:rsidRPr="008879A7" w:rsidRDefault="008879A7" w:rsidP="008879A7">
      <w:pPr>
        <w:autoSpaceDE w:val="0"/>
        <w:autoSpaceDN w:val="0"/>
        <w:adjustRightInd w:val="0"/>
        <w:spacing w:after="0" w:line="400" w:lineRule="atLeast"/>
        <w:rPr>
          <w:rFonts w:ascii="Times New Roman" w:hAnsi="Times New Roman" w:cs="Times New Roman"/>
          <w:sz w:val="24"/>
          <w:szCs w:val="24"/>
        </w:rPr>
      </w:pPr>
    </w:p>
    <w:p w14:paraId="5814616B" w14:textId="20EA3751" w:rsidR="00C43D5E" w:rsidRDefault="00C43D5E"/>
    <w:p w14:paraId="4F596F51" w14:textId="77777777" w:rsidR="00C43D5E" w:rsidRDefault="00C43D5E" w:rsidP="00C43D5E">
      <w:pPr>
        <w:ind w:left="-5" w:right="2"/>
      </w:pPr>
      <w:r>
        <w:t xml:space="preserve">Table 4 </w:t>
      </w:r>
    </w:p>
    <w:p w14:paraId="35104840" w14:textId="77777777" w:rsidR="00C43D5E" w:rsidRDefault="00C43D5E" w:rsidP="00C43D5E">
      <w:pPr>
        <w:spacing w:after="316"/>
        <w:ind w:left="-5"/>
      </w:pPr>
      <w:r>
        <w:rPr>
          <w:rFonts w:ascii="Times New Roman" w:eastAsia="Times New Roman" w:hAnsi="Times New Roman" w:cs="Times New Roman"/>
          <w:i/>
        </w:rPr>
        <w:t xml:space="preserve">A Summary of the Test Result of All the Hypotheses </w:t>
      </w:r>
    </w:p>
    <w:p w14:paraId="4CB08036" w14:textId="77777777" w:rsidR="00C43D5E" w:rsidRDefault="00C43D5E" w:rsidP="00C43D5E">
      <w:pPr>
        <w:spacing w:after="0"/>
        <w:ind w:right="-10"/>
        <w:jc w:val="right"/>
      </w:pPr>
      <w:r>
        <w:rPr>
          <w:rFonts w:ascii="Calibri" w:eastAsia="Calibri" w:hAnsi="Calibri" w:cs="Calibri"/>
          <w:noProof/>
        </w:rPr>
        <mc:AlternateContent>
          <mc:Choice Requires="wpg">
            <w:drawing>
              <wp:inline distT="0" distB="0" distL="0" distR="0" wp14:anchorId="53317644" wp14:editId="2B92F728">
                <wp:extent cx="5972810" cy="301501"/>
                <wp:effectExtent l="0" t="0" r="0" b="0"/>
                <wp:docPr id="9256" name="Group 9256"/>
                <wp:cNvGraphicFramePr/>
                <a:graphic xmlns:a="http://schemas.openxmlformats.org/drawingml/2006/main">
                  <a:graphicData uri="http://schemas.microsoft.com/office/word/2010/wordprocessingGroup">
                    <wpg:wgp>
                      <wpg:cNvGrpSpPr/>
                      <wpg:grpSpPr>
                        <a:xfrm>
                          <a:off x="0" y="0"/>
                          <a:ext cx="5972810" cy="301501"/>
                          <a:chOff x="0" y="0"/>
                          <a:chExt cx="5972810" cy="301501"/>
                        </a:xfrm>
                      </wpg:grpSpPr>
                      <wps:wsp>
                        <wps:cNvPr id="774" name="Rectangle 774"/>
                        <wps:cNvSpPr/>
                        <wps:spPr>
                          <a:xfrm>
                            <a:off x="59055" y="78507"/>
                            <a:ext cx="912074" cy="224466"/>
                          </a:xfrm>
                          <a:prstGeom prst="rect">
                            <a:avLst/>
                          </a:prstGeom>
                          <a:ln>
                            <a:noFill/>
                          </a:ln>
                        </wps:spPr>
                        <wps:txbx>
                          <w:txbxContent>
                            <w:p w14:paraId="59B3B994" w14:textId="77777777" w:rsidR="00C43D5E" w:rsidRDefault="00C43D5E" w:rsidP="00C43D5E">
                              <w:r>
                                <w:t>Hypothesis</w:t>
                              </w:r>
                            </w:p>
                          </w:txbxContent>
                        </wps:txbx>
                        <wps:bodyPr horzOverflow="overflow" vert="horz" lIns="0" tIns="0" rIns="0" bIns="0" rtlCol="0">
                          <a:noAutofit/>
                        </wps:bodyPr>
                      </wps:wsp>
                      <wps:wsp>
                        <wps:cNvPr id="775" name="Rectangle 775"/>
                        <wps:cNvSpPr/>
                        <wps:spPr>
                          <a:xfrm>
                            <a:off x="2599055" y="78507"/>
                            <a:ext cx="945639" cy="224466"/>
                          </a:xfrm>
                          <a:prstGeom prst="rect">
                            <a:avLst/>
                          </a:prstGeom>
                          <a:ln>
                            <a:noFill/>
                          </a:ln>
                        </wps:spPr>
                        <wps:txbx>
                          <w:txbxContent>
                            <w:p w14:paraId="5EE341A0" w14:textId="77777777" w:rsidR="00C43D5E" w:rsidRDefault="00C43D5E" w:rsidP="00C43D5E">
                              <w:r>
                                <w:t>Description</w:t>
                              </w:r>
                            </w:p>
                          </w:txbxContent>
                        </wps:txbx>
                        <wps:bodyPr horzOverflow="overflow" vert="horz" lIns="0" tIns="0" rIns="0" bIns="0" rtlCol="0">
                          <a:noAutofit/>
                        </wps:bodyPr>
                      </wps:wsp>
                      <wps:wsp>
                        <wps:cNvPr id="823" name="Shape 823"/>
                        <wps:cNvSpPr/>
                        <wps:spPr>
                          <a:xfrm>
                            <a:off x="0" y="301501"/>
                            <a:ext cx="963443" cy="0"/>
                          </a:xfrm>
                          <a:custGeom>
                            <a:avLst/>
                            <a:gdLst/>
                            <a:ahLst/>
                            <a:cxnLst/>
                            <a:rect l="0" t="0" r="0" b="0"/>
                            <a:pathLst>
                              <a:path w="963443">
                                <a:moveTo>
                                  <a:pt x="0" y="0"/>
                                </a:moveTo>
                                <a:lnTo>
                                  <a:pt x="963443" y="0"/>
                                </a:lnTo>
                              </a:path>
                            </a:pathLst>
                          </a:custGeom>
                          <a:ln w="3175" cap="flat">
                            <a:miter lim="100000"/>
                          </a:ln>
                        </wps:spPr>
                        <wps:style>
                          <a:lnRef idx="1">
                            <a:srgbClr val="BFBFBF"/>
                          </a:lnRef>
                          <a:fillRef idx="0">
                            <a:srgbClr val="000000">
                              <a:alpha val="0"/>
                            </a:srgbClr>
                          </a:fillRef>
                          <a:effectRef idx="0">
                            <a:scrgbClr r="0" g="0" b="0"/>
                          </a:effectRef>
                          <a:fontRef idx="none"/>
                        </wps:style>
                        <wps:bodyPr/>
                      </wps:wsp>
                      <wps:wsp>
                        <wps:cNvPr id="824" name="Shape 824"/>
                        <wps:cNvSpPr/>
                        <wps:spPr>
                          <a:xfrm>
                            <a:off x="963443" y="301501"/>
                            <a:ext cx="3980030" cy="0"/>
                          </a:xfrm>
                          <a:custGeom>
                            <a:avLst/>
                            <a:gdLst/>
                            <a:ahLst/>
                            <a:cxnLst/>
                            <a:rect l="0" t="0" r="0" b="0"/>
                            <a:pathLst>
                              <a:path w="3980030">
                                <a:moveTo>
                                  <a:pt x="0" y="0"/>
                                </a:moveTo>
                                <a:lnTo>
                                  <a:pt x="3980030" y="0"/>
                                </a:lnTo>
                              </a:path>
                            </a:pathLst>
                          </a:custGeom>
                          <a:ln w="3175" cap="flat">
                            <a:miter lim="100000"/>
                          </a:ln>
                        </wps:spPr>
                        <wps:style>
                          <a:lnRef idx="1">
                            <a:srgbClr val="BFBFBF"/>
                          </a:lnRef>
                          <a:fillRef idx="0">
                            <a:srgbClr val="000000">
                              <a:alpha val="0"/>
                            </a:srgbClr>
                          </a:fillRef>
                          <a:effectRef idx="0">
                            <a:scrgbClr r="0" g="0" b="0"/>
                          </a:effectRef>
                          <a:fontRef idx="none"/>
                        </wps:style>
                        <wps:bodyPr/>
                      </wps:wsp>
                      <wps:wsp>
                        <wps:cNvPr id="825" name="Shape 825"/>
                        <wps:cNvSpPr/>
                        <wps:spPr>
                          <a:xfrm>
                            <a:off x="4943473" y="301501"/>
                            <a:ext cx="1029337" cy="0"/>
                          </a:xfrm>
                          <a:custGeom>
                            <a:avLst/>
                            <a:gdLst/>
                            <a:ahLst/>
                            <a:cxnLst/>
                            <a:rect l="0" t="0" r="0" b="0"/>
                            <a:pathLst>
                              <a:path w="1029337">
                                <a:moveTo>
                                  <a:pt x="0" y="0"/>
                                </a:moveTo>
                                <a:lnTo>
                                  <a:pt x="1029337" y="0"/>
                                </a:lnTo>
                              </a:path>
                            </a:pathLst>
                          </a:custGeom>
                          <a:ln w="3175" cap="flat">
                            <a:miter lim="100000"/>
                          </a:ln>
                        </wps:spPr>
                        <wps:style>
                          <a:lnRef idx="1">
                            <a:srgbClr val="BFBFBF"/>
                          </a:lnRef>
                          <a:fillRef idx="0">
                            <a:srgbClr val="000000">
                              <a:alpha val="0"/>
                            </a:srgbClr>
                          </a:fillRef>
                          <a:effectRef idx="0">
                            <a:scrgbClr r="0" g="0" b="0"/>
                          </a:effectRef>
                          <a:fontRef idx="none"/>
                        </wps:style>
                        <wps:bodyPr/>
                      </wps:wsp>
                      <wps:wsp>
                        <wps:cNvPr id="827" name="Shape 827"/>
                        <wps:cNvSpPr/>
                        <wps:spPr>
                          <a:xfrm>
                            <a:off x="0" y="0"/>
                            <a:ext cx="5972810" cy="0"/>
                          </a:xfrm>
                          <a:custGeom>
                            <a:avLst/>
                            <a:gdLst/>
                            <a:ahLst/>
                            <a:cxnLst/>
                            <a:rect l="0" t="0" r="0" b="0"/>
                            <a:pathLst>
                              <a:path w="5972810">
                                <a:moveTo>
                                  <a:pt x="0" y="0"/>
                                </a:moveTo>
                                <a:lnTo>
                                  <a:pt x="5972810" y="0"/>
                                </a:lnTo>
                              </a:path>
                            </a:pathLst>
                          </a:custGeom>
                          <a:ln w="2857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3317644" id="Group 9256" o:spid="_x0000_s1026" style="width:470.3pt;height:23.75pt;mso-position-horizontal-relative:char;mso-position-vertical-relative:line" coordsize="59728,3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">
                <v:rect id="Rectangle 774" o:spid="_x0000_s1027" style="position:absolute;left:590;top:785;width:912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VvMxgAAANwAAAAPAAAAZHJzL2Rvd25yZXYueG1sRI9Pa8JA&#10;FMTvhX6H5RV6q5uW0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Xk1bzMYAAADcAAAA&#10;DwAAAAAAAAAAAAAAAAAHAgAAZHJzL2Rvd25yZXYueG1sUEsFBgAAAAADAAMAtwAAAPoCAAAAAA==&#10;" filled="f" stroked="f">
                  <v:textbox inset="0,0,0,0">
                    <w:txbxContent>
                      <w:p w14:paraId="59B3B994" w14:textId="77777777" w:rsidR="00C43D5E" w:rsidRDefault="00C43D5E" w:rsidP="00C43D5E">
                        <w:r>
                          <w:t>Hypothesis</w:t>
                        </w:r>
                      </w:p>
                    </w:txbxContent>
                  </v:textbox>
                </v:rect>
                <v:rect id="Rectangle 775" o:spid="_x0000_s1028" style="position:absolute;left:25990;top:785;width:945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14:paraId="5EE341A0" w14:textId="77777777" w:rsidR="00C43D5E" w:rsidRDefault="00C43D5E" w:rsidP="00C43D5E">
                        <w:r>
                          <w:t>Description</w:t>
                        </w:r>
                      </w:p>
                    </w:txbxContent>
                  </v:textbox>
                </v:rect>
                <v:shape id="Shape 823" o:spid="_x0000_s1029" style="position:absolute;top:3015;width:9634;height:0;visibility:visible;mso-wrap-style:square;v-text-anchor:top" coordsize="963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" path="m,l963443,e" filled="f" strokecolor="#bfbfbf" strokeweight=".25pt">
                  <v:stroke miterlimit="1" joinstyle="miter"/>
                  <v:path arrowok="t" textboxrect="0,0,963443,0"/>
                </v:shape>
                <v:shape id="Shape 824" o:spid="_x0000_s1030" style="position:absolute;left:9634;top:3015;width:39800;height:0;visibility:visible;mso-wrap-style:square;v-text-anchor:top" coordsize="39800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" path="m,l3980030,e" filled="f" strokecolor="#bfbfbf" strokeweight=".25pt">
                  <v:stroke miterlimit="1" joinstyle="miter"/>
                  <v:path arrowok="t" textboxrect="0,0,3980030,0"/>
                </v:shape>
                <v:shape id="Shape 825" o:spid="_x0000_s1031" style="position:absolute;left:49434;top:3015;width:10294;height:0;visibility:visible;mso-wrap-style:square;v-text-anchor:top" coordsize="10293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" path="m,l1029337,e" filled="f" strokecolor="#bfbfbf" strokeweight=".25pt">
                  <v:stroke miterlimit="1" joinstyle="miter"/>
                  <v:path arrowok="t" textboxrect="0,0,1029337,0"/>
                </v:shape>
                <v:shape id="Shape 827" o:spid="_x0000_s1032" style="position:absolute;width:59728;height:0;visibility:visible;mso-wrap-style:square;v-text-anchor:top" coordsize="5972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" path="m,l5972810,e" filled="f" strokeweight="2.25pt">
                  <v:stroke miterlimit="1" joinstyle="miter"/>
                  <v:path arrowok="t" textboxrect="0,0,5972810,0"/>
                </v:shape>
                <w10:anchorlock/>
              </v:group>
            </w:pict>
          </mc:Fallback>
        </mc:AlternateContent>
      </w:r>
      <w:r>
        <w:t>Result</w:t>
      </w:r>
    </w:p>
    <w:tbl>
      <w:tblPr>
        <w:tblStyle w:val="TableGrid"/>
        <w:tblW w:w="8993" w:type="dxa"/>
        <w:tblInd w:w="100" w:type="dxa"/>
        <w:tblCellMar>
          <w:top w:w="0" w:type="dxa"/>
          <w:left w:w="0" w:type="dxa"/>
          <w:bottom w:w="3" w:type="dxa"/>
          <w:right w:w="0" w:type="dxa"/>
        </w:tblCellMar>
        <w:tblLook w:val="04A0" w:firstRow="1" w:lastRow="0" w:firstColumn="1" w:lastColumn="0" w:noHBand="0" w:noVBand="1"/>
      </w:tblPr>
      <w:tblGrid>
        <w:gridCol w:w="1476"/>
        <w:gridCol w:w="6101"/>
        <w:gridCol w:w="1416"/>
      </w:tblGrid>
      <w:tr w:rsidR="00C43D5E" w:rsidRPr="005C14B7" w14:paraId="0D49CE5D" w14:textId="77777777" w:rsidTr="005C14B7">
        <w:trPr>
          <w:trHeight w:val="953"/>
        </w:trPr>
        <w:tc>
          <w:tcPr>
            <w:tcW w:w="1520" w:type="dxa"/>
            <w:tcBorders>
              <w:top w:val="nil"/>
              <w:left w:val="nil"/>
              <w:bottom w:val="nil"/>
              <w:right w:val="nil"/>
            </w:tcBorders>
          </w:tcPr>
          <w:p w14:paraId="2A3383F7" w14:textId="77777777" w:rsidR="00C43D5E" w:rsidRDefault="00C43D5E" w:rsidP="00217800">
            <w:pPr>
              <w:spacing w:line="259" w:lineRule="auto"/>
            </w:pPr>
            <w:r>
              <w:t>H1</w:t>
            </w:r>
          </w:p>
        </w:tc>
        <w:tc>
          <w:tcPr>
            <w:tcW w:w="6259" w:type="dxa"/>
            <w:tcBorders>
              <w:top w:val="nil"/>
              <w:left w:val="nil"/>
              <w:bottom w:val="nil"/>
              <w:right w:val="nil"/>
            </w:tcBorders>
          </w:tcPr>
          <w:p w14:paraId="155A673C" w14:textId="2D60DA82" w:rsidR="00C43D5E" w:rsidRPr="005C14B7" w:rsidRDefault="00C43D5E" w:rsidP="00217800">
            <w:pPr>
              <w:spacing w:after="280" w:line="259" w:lineRule="auto"/>
              <w:rPr>
                <w:rFonts w:ascii="Times New Roman" w:hAnsi="Times New Roman" w:cs="Times New Roman"/>
                <w:sz w:val="28"/>
                <w:szCs w:val="28"/>
              </w:rPr>
            </w:pPr>
            <w:r w:rsidRPr="005C14B7">
              <w:rPr>
                <w:rFonts w:ascii="Times New Roman" w:hAnsi="Times New Roman" w:cs="Times New Roman"/>
                <w:sz w:val="28"/>
                <w:szCs w:val="28"/>
              </w:rPr>
              <w:t>The financial stress acts as a mediating variable in predicting presenteeism.</w:t>
            </w:r>
            <w:r w:rsidRPr="005C14B7">
              <w:rPr>
                <w:rFonts w:ascii="Times New Roman" w:hAnsi="Times New Roman" w:cs="Times New Roman"/>
                <w:sz w:val="28"/>
                <w:szCs w:val="28"/>
              </w:rPr>
              <w:t xml:space="preserve"> </w:t>
            </w:r>
          </w:p>
          <w:p w14:paraId="48372DBB" w14:textId="1755D470" w:rsidR="00C43D5E" w:rsidRPr="005C14B7" w:rsidRDefault="00C43D5E" w:rsidP="00217800">
            <w:pPr>
              <w:spacing w:line="259" w:lineRule="auto"/>
              <w:rPr>
                <w:rFonts w:ascii="Times New Roman" w:hAnsi="Times New Roman" w:cs="Times New Roman"/>
                <w:sz w:val="28"/>
                <w:szCs w:val="28"/>
              </w:rPr>
            </w:pPr>
          </w:p>
        </w:tc>
        <w:tc>
          <w:tcPr>
            <w:tcW w:w="1214" w:type="dxa"/>
            <w:tcBorders>
              <w:top w:val="nil"/>
              <w:left w:val="nil"/>
              <w:bottom w:val="nil"/>
              <w:right w:val="nil"/>
            </w:tcBorders>
          </w:tcPr>
          <w:p w14:paraId="07E23CF9" w14:textId="77777777" w:rsidR="00C43D5E" w:rsidRPr="005C14B7" w:rsidRDefault="00C43D5E"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Significant</w:t>
            </w:r>
          </w:p>
        </w:tc>
      </w:tr>
      <w:tr w:rsidR="00C43D5E" w:rsidRPr="005C14B7" w14:paraId="7E6E8F11" w14:textId="77777777" w:rsidTr="005C14B7">
        <w:trPr>
          <w:trHeight w:val="1060"/>
        </w:trPr>
        <w:tc>
          <w:tcPr>
            <w:tcW w:w="1520" w:type="dxa"/>
            <w:tcBorders>
              <w:top w:val="nil"/>
              <w:left w:val="nil"/>
              <w:bottom w:val="nil"/>
              <w:right w:val="nil"/>
            </w:tcBorders>
          </w:tcPr>
          <w:p w14:paraId="637E7836" w14:textId="77777777" w:rsidR="00C43D5E" w:rsidRDefault="00C43D5E" w:rsidP="00217800">
            <w:pPr>
              <w:spacing w:line="259" w:lineRule="auto"/>
            </w:pPr>
            <w:r>
              <w:t>H2a</w:t>
            </w:r>
          </w:p>
        </w:tc>
        <w:tc>
          <w:tcPr>
            <w:tcW w:w="6259" w:type="dxa"/>
            <w:tcBorders>
              <w:top w:val="nil"/>
              <w:left w:val="nil"/>
              <w:bottom w:val="nil"/>
              <w:right w:val="nil"/>
            </w:tcBorders>
            <w:vAlign w:val="center"/>
          </w:tcPr>
          <w:p w14:paraId="05D692D3" w14:textId="168125E8" w:rsidR="00C43D5E" w:rsidRPr="005C14B7" w:rsidRDefault="00C43D5E" w:rsidP="00217800">
            <w:pPr>
              <w:spacing w:line="259" w:lineRule="auto"/>
              <w:rPr>
                <w:rFonts w:ascii="Times New Roman" w:hAnsi="Times New Roman" w:cs="Times New Roman"/>
                <w:sz w:val="28"/>
                <w:szCs w:val="28"/>
              </w:rPr>
            </w:pPr>
            <w:proofErr w:type="spellStart"/>
            <w:r w:rsidRPr="005C14B7">
              <w:rPr>
                <w:rFonts w:ascii="Times New Roman" w:hAnsi="Times New Roman" w:cs="Times New Roman"/>
                <w:sz w:val="28"/>
                <w:szCs w:val="28"/>
              </w:rPr>
              <w:t>Employess</w:t>
            </w:r>
            <w:proofErr w:type="spellEnd"/>
            <w:r w:rsidRPr="005C14B7">
              <w:rPr>
                <w:rFonts w:ascii="Times New Roman" w:hAnsi="Times New Roman" w:cs="Times New Roman"/>
                <w:sz w:val="28"/>
                <w:szCs w:val="28"/>
              </w:rPr>
              <w:t xml:space="preserve"> work evaluation orientation will moderate the association of financial </w:t>
            </w:r>
            <w:proofErr w:type="spellStart"/>
            <w:r w:rsidRPr="005C14B7">
              <w:rPr>
                <w:rFonts w:ascii="Times New Roman" w:hAnsi="Times New Roman" w:cs="Times New Roman"/>
                <w:sz w:val="28"/>
                <w:szCs w:val="28"/>
              </w:rPr>
              <w:t>uncertainity</w:t>
            </w:r>
            <w:proofErr w:type="spellEnd"/>
            <w:r w:rsidRPr="005C14B7">
              <w:rPr>
                <w:rFonts w:ascii="Times New Roman" w:hAnsi="Times New Roman" w:cs="Times New Roman"/>
                <w:sz w:val="28"/>
                <w:szCs w:val="28"/>
              </w:rPr>
              <w:t xml:space="preserve"> with financial pressure so that the relationship is weaker for employees who are predominantly intrinsically oriented</w:t>
            </w:r>
          </w:p>
        </w:tc>
        <w:tc>
          <w:tcPr>
            <w:tcW w:w="1214" w:type="dxa"/>
            <w:tcBorders>
              <w:top w:val="nil"/>
              <w:left w:val="nil"/>
              <w:bottom w:val="nil"/>
              <w:right w:val="nil"/>
            </w:tcBorders>
          </w:tcPr>
          <w:p w14:paraId="13CB6F03" w14:textId="77777777" w:rsidR="00C43D5E" w:rsidRPr="005C14B7" w:rsidRDefault="00C43D5E" w:rsidP="00217800">
            <w:pPr>
              <w:spacing w:line="259" w:lineRule="auto"/>
              <w:jc w:val="both"/>
              <w:rPr>
                <w:rFonts w:ascii="Times New Roman" w:hAnsi="Times New Roman" w:cs="Times New Roman"/>
                <w:sz w:val="28"/>
                <w:szCs w:val="28"/>
              </w:rPr>
            </w:pPr>
            <w:r w:rsidRPr="005C14B7">
              <w:rPr>
                <w:rFonts w:ascii="Times New Roman" w:hAnsi="Times New Roman" w:cs="Times New Roman"/>
                <w:sz w:val="28"/>
                <w:szCs w:val="28"/>
              </w:rPr>
              <w:t>Insignificant</w:t>
            </w:r>
          </w:p>
        </w:tc>
      </w:tr>
      <w:tr w:rsidR="00C43D5E" w:rsidRPr="005C14B7" w14:paraId="3AA9A1BE" w14:textId="77777777" w:rsidTr="005C14B7">
        <w:trPr>
          <w:trHeight w:val="920"/>
        </w:trPr>
        <w:tc>
          <w:tcPr>
            <w:tcW w:w="1520" w:type="dxa"/>
            <w:tcBorders>
              <w:top w:val="nil"/>
              <w:left w:val="nil"/>
              <w:bottom w:val="nil"/>
              <w:right w:val="nil"/>
            </w:tcBorders>
          </w:tcPr>
          <w:p w14:paraId="72737C3A" w14:textId="77777777" w:rsidR="00C43D5E" w:rsidRDefault="00C43D5E" w:rsidP="00217800">
            <w:pPr>
              <w:spacing w:line="259" w:lineRule="auto"/>
            </w:pPr>
            <w:r>
              <w:t>H2b</w:t>
            </w:r>
          </w:p>
        </w:tc>
        <w:tc>
          <w:tcPr>
            <w:tcW w:w="6259" w:type="dxa"/>
            <w:tcBorders>
              <w:top w:val="nil"/>
              <w:left w:val="nil"/>
              <w:bottom w:val="nil"/>
              <w:right w:val="nil"/>
            </w:tcBorders>
            <w:vAlign w:val="center"/>
          </w:tcPr>
          <w:p w14:paraId="5371C36A" w14:textId="1305C5AB" w:rsidR="00C43D5E" w:rsidRPr="005C14B7" w:rsidRDefault="00C43D5E"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 xml:space="preserve">Conversely ,the relationship is stronger for employees who are predominantly extrinsically oriented and will undergo pressures in times of financial </w:t>
            </w:r>
            <w:proofErr w:type="spellStart"/>
            <w:r w:rsidRPr="005C14B7">
              <w:rPr>
                <w:rFonts w:ascii="Times New Roman" w:hAnsi="Times New Roman" w:cs="Times New Roman"/>
                <w:sz w:val="28"/>
                <w:szCs w:val="28"/>
              </w:rPr>
              <w:t>uncertainity</w:t>
            </w:r>
            <w:proofErr w:type="spellEnd"/>
            <w:r w:rsidRPr="005C14B7">
              <w:rPr>
                <w:rFonts w:ascii="Times New Roman" w:hAnsi="Times New Roman" w:cs="Times New Roman"/>
                <w:sz w:val="28"/>
                <w:szCs w:val="28"/>
              </w:rPr>
              <w:t>.</w:t>
            </w:r>
          </w:p>
        </w:tc>
        <w:tc>
          <w:tcPr>
            <w:tcW w:w="1214" w:type="dxa"/>
            <w:tcBorders>
              <w:top w:val="nil"/>
              <w:left w:val="nil"/>
              <w:bottom w:val="nil"/>
              <w:right w:val="nil"/>
            </w:tcBorders>
          </w:tcPr>
          <w:p w14:paraId="4E62AD92" w14:textId="77777777" w:rsidR="00C43D5E" w:rsidRPr="005C14B7" w:rsidRDefault="00C43D5E"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Significant</w:t>
            </w:r>
          </w:p>
        </w:tc>
      </w:tr>
      <w:tr w:rsidR="00C43D5E" w:rsidRPr="005C14B7" w14:paraId="0E2133A9" w14:textId="77777777" w:rsidTr="005C14B7">
        <w:trPr>
          <w:trHeight w:val="930"/>
        </w:trPr>
        <w:tc>
          <w:tcPr>
            <w:tcW w:w="1520" w:type="dxa"/>
            <w:tcBorders>
              <w:top w:val="nil"/>
              <w:left w:val="nil"/>
              <w:bottom w:val="nil"/>
              <w:right w:val="nil"/>
            </w:tcBorders>
          </w:tcPr>
          <w:p w14:paraId="18AEB87D" w14:textId="2F8DEE26" w:rsidR="00C43D5E" w:rsidRDefault="00C43D5E" w:rsidP="00217800">
            <w:pPr>
              <w:spacing w:line="259" w:lineRule="auto"/>
            </w:pPr>
            <w:r>
              <w:t>Test 1</w:t>
            </w:r>
          </w:p>
        </w:tc>
        <w:tc>
          <w:tcPr>
            <w:tcW w:w="6259" w:type="dxa"/>
            <w:tcBorders>
              <w:top w:val="nil"/>
              <w:left w:val="nil"/>
              <w:bottom w:val="nil"/>
              <w:right w:val="nil"/>
            </w:tcBorders>
            <w:vAlign w:val="center"/>
          </w:tcPr>
          <w:p w14:paraId="01E84B50" w14:textId="5CBEEAED" w:rsidR="00C43D5E" w:rsidRPr="005C14B7" w:rsidRDefault="00C43D5E"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 xml:space="preserve">The idea  that financial </w:t>
            </w:r>
            <w:r w:rsidR="003861A8" w:rsidRPr="005C14B7">
              <w:rPr>
                <w:rFonts w:ascii="Times New Roman" w:hAnsi="Times New Roman" w:cs="Times New Roman"/>
                <w:sz w:val="28"/>
                <w:szCs w:val="28"/>
              </w:rPr>
              <w:t>uncertainness will draw people’s attention to their immediate needs at the expense of investigating in  future oriented self-development.</w:t>
            </w:r>
          </w:p>
        </w:tc>
        <w:tc>
          <w:tcPr>
            <w:tcW w:w="1214" w:type="dxa"/>
            <w:tcBorders>
              <w:top w:val="nil"/>
              <w:left w:val="nil"/>
              <w:bottom w:val="nil"/>
              <w:right w:val="nil"/>
            </w:tcBorders>
          </w:tcPr>
          <w:p w14:paraId="479DDC82" w14:textId="77777777" w:rsidR="00C43D5E" w:rsidRPr="005C14B7" w:rsidRDefault="00C43D5E"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Significant</w:t>
            </w:r>
          </w:p>
        </w:tc>
      </w:tr>
      <w:tr w:rsidR="00C43D5E" w:rsidRPr="005C14B7" w14:paraId="1F55DBC7" w14:textId="77777777" w:rsidTr="005C14B7">
        <w:trPr>
          <w:trHeight w:val="1070"/>
        </w:trPr>
        <w:tc>
          <w:tcPr>
            <w:tcW w:w="1520" w:type="dxa"/>
            <w:tcBorders>
              <w:top w:val="nil"/>
              <w:left w:val="nil"/>
              <w:bottom w:val="nil"/>
              <w:right w:val="nil"/>
            </w:tcBorders>
          </w:tcPr>
          <w:p w14:paraId="2AC78900" w14:textId="6181D5EF" w:rsidR="00C43D5E" w:rsidRDefault="00C43D5E" w:rsidP="00217800">
            <w:pPr>
              <w:spacing w:line="259" w:lineRule="auto"/>
            </w:pPr>
            <w:r>
              <w:t>Test 2</w:t>
            </w:r>
          </w:p>
        </w:tc>
        <w:tc>
          <w:tcPr>
            <w:tcW w:w="6259" w:type="dxa"/>
            <w:tcBorders>
              <w:top w:val="nil"/>
              <w:left w:val="nil"/>
              <w:bottom w:val="nil"/>
              <w:right w:val="nil"/>
            </w:tcBorders>
            <w:vAlign w:val="center"/>
          </w:tcPr>
          <w:p w14:paraId="43DF9E17" w14:textId="4062B58D" w:rsidR="00C43D5E" w:rsidRPr="005C14B7" w:rsidRDefault="003861A8"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 xml:space="preserve">The outcome of all direct effect caused by financial </w:t>
            </w:r>
            <w:proofErr w:type="spellStart"/>
            <w:r w:rsidRPr="005C14B7">
              <w:rPr>
                <w:rFonts w:ascii="Times New Roman" w:hAnsi="Times New Roman" w:cs="Times New Roman"/>
                <w:sz w:val="28"/>
                <w:szCs w:val="28"/>
              </w:rPr>
              <w:t>uncertainity</w:t>
            </w:r>
            <w:proofErr w:type="spellEnd"/>
            <w:r w:rsidRPr="005C14B7">
              <w:rPr>
                <w:rFonts w:ascii="Times New Roman" w:hAnsi="Times New Roman" w:cs="Times New Roman"/>
                <w:sz w:val="28"/>
                <w:szCs w:val="28"/>
              </w:rPr>
              <w:t xml:space="preserve"> and indirect effect caused through financial worries by financial </w:t>
            </w:r>
            <w:proofErr w:type="spellStart"/>
            <w:r w:rsidRPr="005C14B7">
              <w:rPr>
                <w:rFonts w:ascii="Times New Roman" w:hAnsi="Times New Roman" w:cs="Times New Roman"/>
                <w:sz w:val="28"/>
                <w:szCs w:val="28"/>
              </w:rPr>
              <w:t>uncertainity</w:t>
            </w:r>
            <w:proofErr w:type="spellEnd"/>
          </w:p>
        </w:tc>
        <w:tc>
          <w:tcPr>
            <w:tcW w:w="1214" w:type="dxa"/>
            <w:tcBorders>
              <w:top w:val="nil"/>
              <w:left w:val="nil"/>
              <w:bottom w:val="nil"/>
              <w:right w:val="nil"/>
            </w:tcBorders>
          </w:tcPr>
          <w:p w14:paraId="74C0B111" w14:textId="77777777" w:rsidR="00C43D5E" w:rsidRPr="005C14B7" w:rsidRDefault="00C43D5E" w:rsidP="00217800">
            <w:pPr>
              <w:spacing w:line="259" w:lineRule="auto"/>
              <w:jc w:val="both"/>
              <w:rPr>
                <w:rFonts w:ascii="Times New Roman" w:hAnsi="Times New Roman" w:cs="Times New Roman"/>
                <w:sz w:val="28"/>
                <w:szCs w:val="28"/>
              </w:rPr>
            </w:pPr>
            <w:r w:rsidRPr="005C14B7">
              <w:rPr>
                <w:rFonts w:ascii="Times New Roman" w:hAnsi="Times New Roman" w:cs="Times New Roman"/>
                <w:sz w:val="28"/>
                <w:szCs w:val="28"/>
              </w:rPr>
              <w:t>Insignificant</w:t>
            </w:r>
          </w:p>
        </w:tc>
      </w:tr>
      <w:tr w:rsidR="003861A8" w:rsidRPr="005C14B7" w14:paraId="76BD5B02" w14:textId="77777777" w:rsidTr="005C14B7">
        <w:trPr>
          <w:gridAfter w:val="1"/>
          <w:wAfter w:w="1214" w:type="dxa"/>
          <w:trHeight w:val="1070"/>
        </w:trPr>
        <w:tc>
          <w:tcPr>
            <w:tcW w:w="1520" w:type="dxa"/>
            <w:tcBorders>
              <w:top w:val="nil"/>
              <w:left w:val="nil"/>
              <w:bottom w:val="nil"/>
              <w:right w:val="nil"/>
            </w:tcBorders>
          </w:tcPr>
          <w:p w14:paraId="0191682B" w14:textId="77777777" w:rsidR="003861A8" w:rsidRDefault="003861A8" w:rsidP="00217800">
            <w:pPr>
              <w:spacing w:line="259" w:lineRule="auto"/>
            </w:pPr>
            <w:r>
              <w:t>Test 2</w:t>
            </w:r>
          </w:p>
        </w:tc>
        <w:tc>
          <w:tcPr>
            <w:tcW w:w="6259" w:type="dxa"/>
            <w:tcBorders>
              <w:top w:val="nil"/>
              <w:left w:val="nil"/>
              <w:bottom w:val="nil"/>
              <w:right w:val="nil"/>
            </w:tcBorders>
            <w:vAlign w:val="center"/>
          </w:tcPr>
          <w:p w14:paraId="4255F5A4" w14:textId="77777777" w:rsidR="003861A8" w:rsidRPr="005C14B7" w:rsidRDefault="003861A8"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 xml:space="preserve">The outcome of all direct effect caused by financial </w:t>
            </w:r>
            <w:proofErr w:type="spellStart"/>
            <w:r w:rsidRPr="005C14B7">
              <w:rPr>
                <w:rFonts w:ascii="Times New Roman" w:hAnsi="Times New Roman" w:cs="Times New Roman"/>
                <w:sz w:val="28"/>
                <w:szCs w:val="28"/>
              </w:rPr>
              <w:t>uncertainity</w:t>
            </w:r>
            <w:proofErr w:type="spellEnd"/>
            <w:r w:rsidRPr="005C14B7">
              <w:rPr>
                <w:rFonts w:ascii="Times New Roman" w:hAnsi="Times New Roman" w:cs="Times New Roman"/>
                <w:sz w:val="28"/>
                <w:szCs w:val="28"/>
              </w:rPr>
              <w:t xml:space="preserve"> and indirect effect caused through financial worries by financial </w:t>
            </w:r>
            <w:proofErr w:type="spellStart"/>
            <w:r w:rsidRPr="005C14B7">
              <w:rPr>
                <w:rFonts w:ascii="Times New Roman" w:hAnsi="Times New Roman" w:cs="Times New Roman"/>
                <w:sz w:val="28"/>
                <w:szCs w:val="28"/>
              </w:rPr>
              <w:t>uncertainity</w:t>
            </w:r>
            <w:proofErr w:type="spellEnd"/>
          </w:p>
        </w:tc>
      </w:tr>
      <w:tr w:rsidR="00164312" w:rsidRPr="005C14B7" w14:paraId="7D10C12B" w14:textId="77777777" w:rsidTr="00164312">
        <w:trPr>
          <w:trHeight w:val="1060"/>
        </w:trPr>
        <w:tc>
          <w:tcPr>
            <w:tcW w:w="1520" w:type="dxa"/>
            <w:tcBorders>
              <w:top w:val="nil"/>
              <w:left w:val="nil"/>
              <w:bottom w:val="nil"/>
              <w:right w:val="nil"/>
            </w:tcBorders>
          </w:tcPr>
          <w:p w14:paraId="4EA441D9" w14:textId="77777777" w:rsidR="00164312" w:rsidRDefault="00164312" w:rsidP="00217800">
            <w:pPr>
              <w:spacing w:line="259" w:lineRule="auto"/>
            </w:pPr>
            <w:r>
              <w:t>H3c</w:t>
            </w:r>
          </w:p>
        </w:tc>
        <w:tc>
          <w:tcPr>
            <w:tcW w:w="6259" w:type="dxa"/>
            <w:tcBorders>
              <w:top w:val="nil"/>
              <w:left w:val="nil"/>
              <w:bottom w:val="nil"/>
              <w:right w:val="nil"/>
            </w:tcBorders>
            <w:vAlign w:val="center"/>
          </w:tcPr>
          <w:p w14:paraId="0E7EFCE0" w14:textId="3A94688A" w:rsidR="00164312" w:rsidRPr="005C14B7" w:rsidRDefault="00164312"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Counterproductive tende</w:t>
            </w:r>
            <w:r w:rsidR="005C14B7">
              <w:rPr>
                <w:rFonts w:ascii="Times New Roman" w:hAnsi="Times New Roman" w:cs="Times New Roman"/>
                <w:sz w:val="28"/>
                <w:szCs w:val="28"/>
              </w:rPr>
              <w:t>n</w:t>
            </w:r>
            <w:r w:rsidRPr="005C14B7">
              <w:rPr>
                <w:rFonts w:ascii="Times New Roman" w:hAnsi="Times New Roman" w:cs="Times New Roman"/>
                <w:sz w:val="28"/>
                <w:szCs w:val="28"/>
              </w:rPr>
              <w:t>cies</w:t>
            </w:r>
          </w:p>
        </w:tc>
        <w:tc>
          <w:tcPr>
            <w:tcW w:w="1214" w:type="dxa"/>
            <w:tcBorders>
              <w:top w:val="nil"/>
              <w:left w:val="nil"/>
              <w:bottom w:val="nil"/>
              <w:right w:val="nil"/>
            </w:tcBorders>
          </w:tcPr>
          <w:p w14:paraId="38B7C516" w14:textId="77777777" w:rsidR="00164312" w:rsidRPr="005C14B7" w:rsidRDefault="00164312" w:rsidP="00217800">
            <w:pPr>
              <w:spacing w:line="259" w:lineRule="auto"/>
              <w:rPr>
                <w:rFonts w:ascii="Times New Roman" w:hAnsi="Times New Roman" w:cs="Times New Roman"/>
                <w:sz w:val="28"/>
                <w:szCs w:val="28"/>
              </w:rPr>
            </w:pPr>
            <w:r w:rsidRPr="005C14B7">
              <w:rPr>
                <w:rFonts w:ascii="Times New Roman" w:hAnsi="Times New Roman" w:cs="Times New Roman"/>
                <w:sz w:val="28"/>
                <w:szCs w:val="28"/>
              </w:rPr>
              <w:t>Significant</w:t>
            </w:r>
          </w:p>
        </w:tc>
      </w:tr>
      <w:tr w:rsidR="00164312" w:rsidRPr="005C14B7" w14:paraId="08DA885D" w14:textId="77777777" w:rsidTr="00217800">
        <w:trPr>
          <w:trHeight w:val="393"/>
        </w:trPr>
        <w:tc>
          <w:tcPr>
            <w:tcW w:w="1520" w:type="dxa"/>
            <w:tcBorders>
              <w:top w:val="nil"/>
              <w:left w:val="nil"/>
              <w:bottom w:val="nil"/>
              <w:right w:val="nil"/>
            </w:tcBorders>
          </w:tcPr>
          <w:p w14:paraId="445D5E84" w14:textId="77777777" w:rsidR="00164312" w:rsidRDefault="00164312" w:rsidP="00217800">
            <w:pPr>
              <w:spacing w:line="259" w:lineRule="auto"/>
            </w:pPr>
            <w:r>
              <w:t>H4b</w:t>
            </w:r>
          </w:p>
        </w:tc>
        <w:tc>
          <w:tcPr>
            <w:tcW w:w="7473" w:type="dxa"/>
            <w:gridSpan w:val="2"/>
            <w:tcBorders>
              <w:top w:val="nil"/>
              <w:left w:val="nil"/>
              <w:bottom w:val="nil"/>
              <w:right w:val="nil"/>
            </w:tcBorders>
            <w:vAlign w:val="bottom"/>
          </w:tcPr>
          <w:p w14:paraId="4CFFB549" w14:textId="0ACD8C93" w:rsidR="00164312" w:rsidRPr="005C14B7" w:rsidRDefault="00164312" w:rsidP="00217800">
            <w:pPr>
              <w:tabs>
                <w:tab w:val="right" w:pos="7473"/>
              </w:tabs>
              <w:spacing w:line="259" w:lineRule="auto"/>
              <w:rPr>
                <w:rFonts w:ascii="Times New Roman" w:hAnsi="Times New Roman" w:cs="Times New Roman"/>
                <w:sz w:val="28"/>
                <w:szCs w:val="28"/>
              </w:rPr>
            </w:pPr>
            <w:r w:rsidRPr="005C14B7">
              <w:rPr>
                <w:rFonts w:ascii="Times New Roman" w:hAnsi="Times New Roman" w:cs="Times New Roman"/>
                <w:sz w:val="28"/>
                <w:szCs w:val="28"/>
              </w:rPr>
              <w:t>Supplementary analysis</w:t>
            </w:r>
            <w:r w:rsidR="005C14B7" w:rsidRPr="005C14B7">
              <w:rPr>
                <w:rFonts w:ascii="Times New Roman" w:hAnsi="Times New Roman" w:cs="Times New Roman"/>
                <w:sz w:val="28"/>
                <w:szCs w:val="28"/>
              </w:rPr>
              <w:t>-“The Cognitive Failures” -</w:t>
            </w:r>
            <w:r w:rsidRPr="005C14B7">
              <w:rPr>
                <w:rFonts w:ascii="Times New Roman" w:hAnsi="Times New Roman" w:cs="Times New Roman"/>
                <w:sz w:val="28"/>
                <w:szCs w:val="28"/>
              </w:rPr>
              <w:tab/>
              <w:t>Significant</w:t>
            </w:r>
          </w:p>
        </w:tc>
      </w:tr>
    </w:tbl>
    <w:p w14:paraId="5458D20D" w14:textId="4FECE89A" w:rsidR="00C43D5E" w:rsidRDefault="00C43D5E"/>
    <w:sectPr w:rsidR="00C43D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D5E"/>
    <w:rsid w:val="000F1A33"/>
    <w:rsid w:val="00164312"/>
    <w:rsid w:val="003861A8"/>
    <w:rsid w:val="003F6AC2"/>
    <w:rsid w:val="005C14B7"/>
    <w:rsid w:val="008879A7"/>
    <w:rsid w:val="00C43D5E"/>
    <w:rsid w:val="00C73CA1"/>
    <w:rsid w:val="00D862F3"/>
    <w:rsid w:val="00FB1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EB38"/>
  <w15:chartTrackingRefBased/>
  <w15:docId w15:val="{474E783E-A186-4765-8ADE-97970C784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3F6AC2"/>
    <w:pPr>
      <w:keepNext/>
      <w:keepLines/>
      <w:spacing w:after="280"/>
      <w:ind w:left="10" w:hanging="10"/>
      <w:outlineLvl w:val="0"/>
    </w:pPr>
    <w:rPr>
      <w:rFonts w:ascii="Times New Roman" w:eastAsia="Times New Roman" w:hAnsi="Times New Roman" w:cs="Times New Roman"/>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C43D5E"/>
    <w:pPr>
      <w:spacing w:after="0" w:line="240" w:lineRule="auto"/>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3F6AC2"/>
    <w:rPr>
      <w:rFonts w:ascii="Times New Roman" w:eastAsia="Times New Roman" w:hAnsi="Times New Roman" w:cs="Times New Roman"/>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666</Words>
  <Characters>3800</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DATA ANALYSIS </vt:lpstr>
      <vt:lpstr>Descriptive statistics and Pearson correlation analysis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1</cp:revision>
  <dcterms:created xsi:type="dcterms:W3CDTF">2021-06-29T05:11:00Z</dcterms:created>
  <dcterms:modified xsi:type="dcterms:W3CDTF">2021-06-29T08:01:00Z</dcterms:modified>
</cp:coreProperties>
</file>