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4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>PUBLICLOGIC</w:t>
      </w:r>
    </w:p>
    <w:p>
      <w:pPr>
        <w:spacing w:before="0" w:after="0" w:line="254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Proof &amp; Case Example</w:t>
      </w:r>
    </w:p>
    <w:p>
      <w:pPr>
        <w:spacing w:before="20" w:after="100" w:line="254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How we prove the work — and how we turn each engagement into a quantified, nameable case.</w:t>
      </w:r>
    </w:p>
    <w:p>
      <w:pPr>
        <w:spacing w:before="4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FIVE KINDS OF PROOF — AND THE NUMBER TO CAPTURE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Proof</w:t>
            </w:r>
          </w:p>
        </w:tc>
        <w:tc>
          <w:tcPr>
            <w:tcW w:type="dxa" w:w="4320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it shows</w:t>
            </w:r>
          </w:p>
        </w:tc>
        <w:tc>
          <w:tcPr>
            <w:tcW w:type="dxa" w:w="3600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The metric to capture</w:t>
            </w:r>
          </w:p>
        </w:tc>
      </w:tr>
      <w:tr>
        <w:tc>
          <w:tcPr>
            <w:tcW w:type="dxa" w:w="201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Continuity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A1D20"/>
                <w:sz w:val="19"/>
              </w:rPr>
              <w:t>A function survives when the person who ran it leaves.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F4C3A"/>
                <w:sz w:val="19"/>
              </w:rPr>
              <w:t>Continuity/transfer risks identified in N functions; successor-readiness from X to Y.</w:t>
            </w:r>
          </w:p>
        </w:tc>
      </w:tr>
      <w:tr>
        <w:tc>
          <w:tcPr>
            <w:tcW w:type="dxa" w:w="201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A1D20"/>
                <w:sz w:val="19"/>
              </w:rPr>
              <w:t>Every claim, number, and decision traces to a source.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F4C3A"/>
                <w:sz w:val="19"/>
              </w:rPr>
              <w:t>Records consolidated into one governed record; % of decisions now traceable.</w:t>
            </w:r>
          </w:p>
        </w:tc>
      </w:tr>
      <w:tr>
        <w:tc>
          <w:tcPr>
            <w:tcW w:type="dxa" w:w="201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Readiness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A1D20"/>
                <w:sz w:val="19"/>
              </w:rPr>
              <w:t>The organization can absorb and sustain the change.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F4C3A"/>
                <w:sz w:val="19"/>
              </w:rPr>
              <w:t>Readiness gaps found before the build; # sequenced ahead of spend.</w:t>
            </w:r>
          </w:p>
        </w:tc>
      </w:tr>
      <w:tr>
        <w:tc>
          <w:tcPr>
            <w:tcW w:type="dxa" w:w="201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Adoption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A1D20"/>
                <w:sz w:val="19"/>
              </w:rPr>
              <w:t>Staff actually use the system, not just receive it.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F4C3A"/>
                <w:sz w:val="19"/>
              </w:rPr>
              <w:t>% of the team using it at 30/90 days; tasks no longer routed through one person.</w:t>
            </w:r>
          </w:p>
        </w:tc>
      </w:tr>
      <w:tr>
        <w:tc>
          <w:tcPr>
            <w:tcW w:type="dxa" w:w="201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A1D20"/>
                <w:sz w:val="19"/>
              </w:rPr>
              <w:t>The work moved forward and got funded.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F4C3A"/>
                <w:sz w:val="19"/>
              </w:rPr>
              <w:t>Permit timeline reduced by X; grant applications supported; $ secured; project delivered.</w:t>
            </w:r>
          </w:p>
        </w:tc>
      </w:tr>
    </w:tbl>
    <w:p>
      <w:pPr>
        <w:spacing w:before="80" w:after="120" w:line="254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Honest note: PublicLogic is early. Until a client approves a named case, we speak about prior work in general terms. This sheet is how we stop doing that — every engagement fills in the template below, so 'similar work has helped…' becomes a specific, quantified, nameable result.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CASE EXAMPLE — one page per engagement (fill in as we go)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Client / function (name once approved; “a Central MA town” until then):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The situation — what was stuck, fragile, or at risk: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The trigger — turnover, a deadline, a stalled project, a single point of failure: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What we did — the offer and the work (Map / Scan / Sprint / Implementation):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What changed — the numbers (use the metrics above):</w:t>
      </w:r>
    </w:p>
    <w:p>
      <w:pPr>
        <w:spacing w:after="20"/>
      </w:pPr>
      <w:r>
        <w:rPr>
          <w:rFonts w:ascii="Calibri" w:hAnsi="Calibri"/>
          <w:color w:val="1A1D20"/>
          <w:sz w:val="20"/>
        </w:rPr>
        <w:t>☐  Continuity:  ____ risks identified · successor-readiness ____ → ____</w:t>
      </w:r>
    </w:p>
    <w:p>
      <w:pPr>
        <w:spacing w:after="20"/>
      </w:pPr>
      <w:r>
        <w:rPr>
          <w:rFonts w:ascii="Calibri" w:hAnsi="Calibri"/>
          <w:color w:val="1A1D20"/>
          <w:sz w:val="20"/>
        </w:rPr>
        <w:t>☐  Record:  ____ sources consolidated · ____% of decisions now traceable</w:t>
      </w:r>
    </w:p>
    <w:p>
      <w:pPr>
        <w:spacing w:after="20"/>
      </w:pPr>
      <w:r>
        <w:rPr>
          <w:rFonts w:ascii="Calibri" w:hAnsi="Calibri"/>
          <w:color w:val="1A1D20"/>
          <w:sz w:val="20"/>
        </w:rPr>
        <w:t>☐  Readiness:  ____ gaps found and sequenced before spend</w:t>
      </w:r>
    </w:p>
    <w:p>
      <w:pPr>
        <w:spacing w:after="20"/>
      </w:pPr>
      <w:r>
        <w:rPr>
          <w:rFonts w:ascii="Calibri" w:hAnsi="Calibri"/>
          <w:color w:val="1A1D20"/>
          <w:sz w:val="20"/>
        </w:rPr>
        <w:t>☐  Adoption:  ____% of the team using it at 90 days</w:t>
      </w:r>
    </w:p>
    <w:p>
      <w:pPr>
        <w:spacing w:after="20"/>
      </w:pPr>
      <w:r>
        <w:rPr>
          <w:rFonts w:ascii="Calibri" w:hAnsi="Calibri"/>
          <w:color w:val="1A1D20"/>
          <w:sz w:val="20"/>
        </w:rPr>
        <w:t>☐  Outcome:  permit/timeline ____ · grants supported ____ · $ ____ · delivered? 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Proof artifact on file (workbook, register, successor test, funded application):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80" w:after="20" w:line="254" w:lineRule="auto"/>
        <w:jc w:val="left"/>
      </w:pPr>
      <w:r>
        <w:rPr>
          <w:rFonts w:ascii="Calibri" w:hAnsi="Calibri"/>
          <w:b/>
          <w:i w:val="0"/>
          <w:color w:val="1A1D20"/>
          <w:sz w:val="20"/>
        </w:rPr>
        <w:t>What the client said (one quote, with permission):</w:t>
      </w:r>
    </w:p>
    <w:p>
      <w:pPr>
        <w:spacing w:after="40"/>
      </w:pPr>
      <w:r>
        <w:rPr>
          <w:color w:val="BBB6AE"/>
          <w:sz w:val="20"/>
        </w:rPr>
        <w:t>______________________________________________________________________________________________</w:t>
      </w:r>
    </w:p>
    <w:p>
      <w:pPr>
        <w:spacing w:before="100" w:after="100" w:line="254" w:lineRule="auto"/>
        <w:jc w:val="left"/>
      </w:pPr>
      <w:r>
        <w:rPr>
          <w:rFonts w:ascii="Calibri" w:hAnsi="Calibri"/>
          <w:b w:val="0"/>
          <w:i/>
          <w:color w:val="0F4C3A"/>
          <w:sz w:val="19"/>
        </w:rPr>
        <w:t>Two tests for a real case:  (1) the number is specific and sourced;  (2) the client would let us say it. If both aren't true yet, keep it general — credibility is worth more than a claim.</w:t>
      </w:r>
    </w:p>
    <w:p>
      <w:pPr>
        <w:spacing w:before="40" w:after="20" w:line="254" w:lineRule="auto"/>
        <w:jc w:val="center"/>
      </w:pPr>
      <w:r>
        <w:rPr>
          <w:rFonts w:ascii="Georgia" w:hAnsi="Georgia"/>
          <w:b/>
          <w:i/>
          <w:color w:val="0F4C3A"/>
          <w:sz w:val="24"/>
        </w:rPr>
        <w:t>The point isn't to be needed forever. It's to make the next person's job easier.</w:t>
      </w:r>
    </w:p>
    <w:p>
      <w:pPr>
        <w:spacing w:before="0" w:after="0" w:line="254" w:lineRule="auto"/>
        <w:jc w:val="center"/>
      </w:pPr>
      <w:r>
        <w:rPr>
          <w:rFonts w:ascii="Calibri" w:hAnsi="Calibri"/>
          <w:b w:val="0"/>
          <w:i w:val="0"/>
          <w:color w:val="6B6660"/>
          <w:sz w:val="17"/>
        </w:rPr>
        <w:t>PublicLogic LLC  ·  Private &amp; Confidential</w:t>
      </w:r>
    </w:p>
    <w:sectPr w:rsidR="00FC693F" w:rsidRPr="0006063C" w:rsidSect="00034616">
      <w:pgSz w:w="12240" w:h="15840"/>
      <w:pgMar w:top="864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