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>PUBLICLOGIC</w:t>
      </w:r>
    </w:p>
    <w:p>
      <w:pPr>
        <w:spacing w:before="0" w:after="0" w:line="252" w:lineRule="auto"/>
        <w:jc w:val="left"/>
      </w:pPr>
      <w:r>
        <w:rPr>
          <w:rFonts w:ascii="Georgia" w:hAnsi="Georgia"/>
          <w:b/>
          <w:i w:val="0"/>
          <w:color w:val="1A1D20"/>
          <w:sz w:val="48"/>
        </w:rPr>
        <w:t>Permit &amp; Bridge Sprint</w:t>
      </w:r>
    </w:p>
    <w:p>
      <w:pPr>
        <w:spacing w:before="20" w:after="100" w:line="252" w:lineRule="auto"/>
        <w:jc w:val="left"/>
      </w:pPr>
      <w:r>
        <w:rPr>
          <w:rFonts w:ascii="Calibri" w:hAnsi="Calibri"/>
          <w:b w:val="0"/>
          <w:i/>
          <w:color w:val="0F4C3A"/>
          <w:sz w:val="22"/>
        </w:rPr>
        <w:t>Scope &amp; Fee Sheet  ·  White-glove help moving a project through the public system.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IT IS</w:t>
      </w:r>
    </w:p>
    <w:p>
      <w:pPr>
        <w:spacing w:before="40" w:after="100" w:line="252" w:lineRule="auto"/>
        <w:jc w:val="left"/>
      </w:pPr>
      <w:r>
        <w:rPr>
          <w:rFonts w:ascii="Calibri" w:hAnsi="Calibri"/>
          <w:b w:val="0"/>
          <w:i w:val="0"/>
          <w:color w:val="1A1D20"/>
          <w:sz w:val="21"/>
        </w:rPr>
        <w:t>You have a specific project — a building, a use, a program, a development — that has to move through permits, boards, funding, and stakeholders. Permit &amp; Bridge is the engagement where we carry it through that public system with you, so it keeps moving and nothing falls through the cracks between the people involved.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WHO IT'S FOR</w:t>
      </w:r>
    </w:p>
    <w:p>
      <w:pPr>
        <w:spacing w:before="40" w:after="10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Project sponsors — developers, towns, nonprofits, and businesses — with one real project that is stalled, about to start, or stuck between offices. (If you only need to know which path you're on, start with a $250–$750 Permit Path Scan instead.)</w:t>
      </w:r>
    </w:p>
    <w:p>
      <w:pPr>
        <w:spacing w:before="4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YOU 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Approvals Map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Every permit, board, and approval the project needs — in the order they have to happen.</w:t>
            </w:r>
          </w:p>
        </w:tc>
      </w:tr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Stakeholder &amp; Board Plan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Who must say yes, in what sequence, and what each one will want to see.</w:t>
            </w:r>
          </w:p>
        </w:tc>
      </w:tr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Submission Checklist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The documents, drawings, and filings each body will require — gathered before you go.</w:t>
            </w:r>
          </w:p>
        </w:tc>
      </w:tr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Coordination &amp; Hearing Support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We manage the path, prep the submissions, and ready you for the meetings and hearings.</w:t>
            </w:r>
          </w:p>
        </w:tc>
      </w:tr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Funding Alignment (optional)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Line the approvals up with grant or funding timing so nothing expires waiting.</w:t>
            </w:r>
          </w:p>
        </w:tc>
      </w:tr>
      <w:tr>
        <w:tc>
          <w:tcPr>
            <w:tcW w:type="dxa" w:w="3240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Handoff Record</w:t>
            </w:r>
          </w:p>
        </w:tc>
        <w:tc>
          <w:tcPr>
            <w:tcW w:type="dxa" w:w="6696"/>
          </w:tcPr>
          <w:p>
            <w:r>
              <w:rPr>
                <w:rFonts w:ascii="Calibri" w:hAnsi="Calibri"/>
                <w:color w:val="1A1D20"/>
                <w:sz w:val="20"/>
              </w:rPr>
              <w:t>A clear record of how you got there and who owns what next — so it survives the project.</w:t>
            </w:r>
          </w:p>
        </w:tc>
      </w:tr>
    </w:tbl>
    <w:p>
      <w:pPr>
        <w:spacing w:before="1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FEE</w:t>
      </w:r>
    </w:p>
    <w:p>
      <w:pPr>
        <w:spacing w:before="40" w:after="20" w:line="252" w:lineRule="auto"/>
        <w:jc w:val="left"/>
      </w:pPr>
      <w:r>
        <w:rPr>
          <w:rFonts w:ascii="Georgia" w:hAnsi="Georgia"/>
          <w:b/>
          <w:i w:val="0"/>
          <w:color w:val="1A1D20"/>
          <w:sz w:val="24"/>
        </w:rPr>
        <w:t>$7,500 – $15,000</w:t>
      </w:r>
      <w:r>
        <w:rPr>
          <w:rFonts w:ascii="Calibri" w:hAnsi="Calibri"/>
          <w:b w:val="0"/>
          <w:i/>
          <w:color w:val="6B6660"/>
          <w:sz w:val="24"/>
        </w:rPr>
        <w:t xml:space="preserve">   fixed sprint fee, scoped to the number of approvals and bodies involved.</w:t>
      </w:r>
    </w:p>
    <w:p>
      <w:pPr>
        <w:spacing w:before="40" w:after="10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Non-contingent — our fee never depends on an approval being granted. Many sponsors continue into White-Glove Implementation ($3,500–$8,500/month) to carry the path to the finish. A prior Permit Path Scan or Stewardship Map credits toward this sprint; credits don't stack.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WHY IT MATTERS</w:t>
      </w:r>
    </w:p>
    <w:p>
      <w:pPr>
        <w:spacing w:before="40" w:after="80" w:line="252" w:lineRule="auto"/>
        <w:jc w:val="left"/>
      </w:pPr>
      <w:r>
        <w:rPr>
          <w:rFonts w:ascii="Calibri" w:hAnsi="Calibri"/>
          <w:b/>
          <w:i w:val="0"/>
          <w:color w:val="1A1D20"/>
          <w:sz w:val="21"/>
        </w:rPr>
        <w:t xml:space="preserve">Most sponsors understand their project. What stalls them is the public system around it. </w:t>
      </w:r>
      <w:r>
        <w:rPr>
          <w:rFonts w:ascii="Calibri" w:hAnsi="Calibri"/>
          <w:b w:val="0"/>
          <w:i w:val="0"/>
          <w:color w:val="1A1D20"/>
          <w:sz w:val="21"/>
        </w:rPr>
        <w:t>We become the bridge — translating between the project and the system so good projects don't die in the gaps between offices.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THE PROMISE</w:t>
      </w:r>
    </w:p>
    <w:p>
      <w:pPr>
        <w:spacing w:before="40" w:after="100" w:line="252" w:lineRule="auto"/>
        <w:jc w:val="left"/>
      </w:pPr>
      <w:r>
        <w:rPr>
          <w:rFonts w:ascii="Georgia" w:hAnsi="Georgia"/>
          <w:b/>
          <w:i/>
          <w:color w:val="1A1D20"/>
          <w:sz w:val="24"/>
        </w:rPr>
        <w:t>You leave with a clear path forward, a clear record of how you got there, and a clear understanding of who owns what next.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PROOF</w:t>
      </w:r>
    </w:p>
    <w:p>
      <w:pPr>
        <w:spacing w:before="40" w:after="120" w:line="252" w:lineRule="auto"/>
        <w:jc w:val="left"/>
      </w:pPr>
      <w:r>
        <w:rPr>
          <w:rFonts w:ascii="Calibri" w:hAnsi="Calibri"/>
          <w:b w:val="0"/>
          <w:i/>
          <w:color w:val="1A1D20"/>
          <w:sz w:val="20"/>
        </w:rPr>
        <w:t>Similar reviews have helped project sponsors understand permitting, stakeholder, and board pathways before committing significant time and money.</w:t>
      </w:r>
    </w:p>
    <w:p>
      <w:pPr>
        <w:spacing w:before="40" w:after="40" w:line="252" w:lineRule="auto"/>
        <w:jc w:val="center"/>
      </w:pPr>
      <w:r>
        <w:rPr>
          <w:rFonts w:ascii="Georgia" w:hAnsi="Georgia"/>
          <w:b/>
          <w:i/>
          <w:color w:val="0F4C3A"/>
          <w:sz w:val="24"/>
        </w:rPr>
        <w:t>Permit &amp; Bridge helps the public understand the path and helps project sponsors move through it.</w:t>
      </w:r>
    </w:p>
    <w:p>
      <w:pPr>
        <w:spacing w:before="40" w:after="20" w:line="252" w:lineRule="auto"/>
        <w:jc w:val="center"/>
      </w:pPr>
      <w:r>
        <w:rPr>
          <w:rFonts w:ascii="Calibri" w:hAnsi="Calibri"/>
          <w:b w:val="0"/>
          <w:i/>
          <w:color w:val="6B6660"/>
          <w:sz w:val="17"/>
        </w:rPr>
        <w:t>PublicLogic does not replace the municipality, inspector, planner, or permitting authority. © PublicLogic LLC.</w:t>
      </w:r>
    </w:p>
    <w:p>
      <w:pPr>
        <w:spacing w:before="0" w:after="0" w:line="252" w:lineRule="auto"/>
        <w:jc w:val="center"/>
      </w:pPr>
      <w:r>
        <w:rPr>
          <w:rFonts w:ascii="Calibri" w:hAnsi="Calibri"/>
          <w:b w:val="0"/>
          <w:i w:val="0"/>
          <w:color w:val="6B6660"/>
          <w:sz w:val="17"/>
        </w:rPr>
        <w:t>PublicLogic LLC  ·  Nathan Boudreau, MPA / MCPPO  ·  hello@publiclogic.org  ·  Private &amp; Confidential</w:t>
      </w:r>
    </w:p>
    <w:sectPr w:rsidR="00FC693F" w:rsidRPr="0006063C" w:rsidSect="00034616">
      <w:pgSz w:w="12240" w:h="15840"/>
      <w:pgMar w:top="792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