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Executive Summary</w:t>
      </w:r>
    </w:p>
    <w:p>
      <w:r>
        <w:rPr>
          <w:i/>
          <w:color w:val="5F5E5A"/>
          <w:sz w:val="19"/>
        </w:rPr>
        <w:t>Swanzey Financial &amp; Governance Review, 2011–2026 · PublicLogic VAULT</w:t>
      </w:r>
    </w:p>
    <w:p>
      <w:r>
        <w:rPr>
          <w:b/>
          <w:color w:val="1F3A5F"/>
          <w:sz w:val="26"/>
        </w:rPr>
        <w:t>The verdict</w:t>
      </w:r>
    </w:p>
    <w:p>
      <w:r>
        <w:t>Across 15 years of official-ballot town meetings, Swanzey's electorate is consistent, legible, and increasingly stressed. Voters will fund operations but will not borrow; they reward saving and credits and punish bonds; their support for the budget is eroding; and they are restless about how the town governs itself — all while the administrator's office keeps turning over. The town is simultaneously taking on more (a water utility) and losing the executive continuity needed to deliver it.</w:t>
      </w:r>
    </w:p>
    <w:p>
      <w:r>
        <w:rPr>
          <w:b/>
          <w:color w:val="1F3A5F"/>
          <w:sz w:val="26"/>
        </w:rPr>
        <w:t>By the numbers</w:t>
      </w:r>
    </w:p>
    <w:p>
      <w:r>
        <w:rPr>
          <w:b/>
          <w:color w:val="993C1D"/>
          <w:sz w:val="26"/>
        </w:rPr>
        <w:t xml:space="preserve">$5.75M → $8.94M  </w:t>
      </w:r>
      <w:r>
        <w:rPr>
          <w:color w:val="5F5E5A"/>
          <w:sz w:val="20"/>
        </w:rPr>
        <w:t>operating budget, 2011 → 2025  (+55%)</w:t>
      </w:r>
    </w:p>
    <w:p>
      <w:r>
        <w:rPr>
          <w:b/>
          <w:color w:val="993C1D"/>
          <w:sz w:val="26"/>
        </w:rPr>
        <w:t xml:space="preserve">≈ 6.7%/yr  </w:t>
      </w:r>
      <w:r>
        <w:rPr>
          <w:color w:val="5F5E5A"/>
          <w:sz w:val="20"/>
        </w:rPr>
        <w:t>recent annual growth (2021–2025)</w:t>
      </w:r>
    </w:p>
    <w:p>
      <w:r>
        <w:rPr>
          <w:b/>
          <w:color w:val="993C1D"/>
          <w:sz w:val="26"/>
        </w:rPr>
        <w:t xml:space="preserve">81% → 57%  </w:t>
      </w:r>
      <w:r>
        <w:rPr>
          <w:color w:val="5F5E5A"/>
          <w:sz w:val="20"/>
        </w:rPr>
        <w:t>operating-budget support, 2011 → 2025</w:t>
      </w:r>
    </w:p>
    <w:p>
      <w:r>
        <w:rPr>
          <w:b/>
          <w:color w:val="993C1D"/>
          <w:sz w:val="26"/>
        </w:rPr>
        <w:t xml:space="preserve">$47K (0.5%)  </w:t>
      </w:r>
      <w:r>
        <w:rPr>
          <w:color w:val="5F5E5A"/>
          <w:sz w:val="20"/>
        </w:rPr>
        <w:t>2025 default-vs-proposed gap (lever gone)</w:t>
      </w:r>
    </w:p>
    <w:p>
      <w:r>
        <w:rPr>
          <w:b/>
          <w:color w:val="993C1D"/>
          <w:sz w:val="26"/>
        </w:rPr>
        <w:t xml:space="preserve">2024 &amp; 2026  </w:t>
      </w:r>
      <w:r>
        <w:rPr>
          <w:color w:val="5F5E5A"/>
          <w:sz w:val="20"/>
        </w:rPr>
        <w:t>public works facility 3/5 votes — both failed</w:t>
      </w:r>
    </w:p>
    <w:p>
      <w:r>
        <w:rPr>
          <w:b/>
          <w:color w:val="993C1D"/>
          <w:sz w:val="26"/>
        </w:rPr>
        <w:t xml:space="preserve">3  </w:t>
      </w:r>
      <w:r>
        <w:rPr>
          <w:color w:val="5F5E5A"/>
          <w:sz w:val="20"/>
        </w:rPr>
        <w:t>town administrators in ~2 years</w:t>
      </w:r>
    </w:p>
    <w:p>
      <w:r>
        <w:rPr>
          <w:b/>
          <w:color w:val="1F3A5F"/>
          <w:sz w:val="26"/>
        </w:rPr>
        <w:t>What the record shows</w:t>
      </w:r>
    </w:p>
    <w:p>
      <w:pPr>
        <w:pStyle w:val="ListBullet"/>
      </w:pPr>
      <w:r>
        <w:rPr>
          <w:b/>
        </w:rPr>
        <w:t>Facility bonds win majorities (55–58%) but die at the 3/5 wall; reserves and tax credits pass by 78–90%.</w:t>
      </w:r>
      <w:r>
        <w:t xml:space="preserve">the town can't borrow. </w:t>
      </w:r>
    </w:p>
    <w:p>
      <w:pPr>
        <w:pStyle w:val="ListBullet"/>
      </w:pPr>
      <w:r>
        <w:rPr>
          <w:b/>
        </w:rPr>
        <w:t>Wages, health insurance, and the ambulance contract drive ~6–7%/yr; the default budget now equals the proposal, so 'vote no to save' no longer works.</w:t>
      </w:r>
      <w:r>
        <w:t xml:space="preserve">budget pressure is structural. </w:t>
      </w:r>
    </w:p>
    <w:p>
      <w:pPr>
        <w:pStyle w:val="ListBullet"/>
      </w:pPr>
      <w:r>
        <w:rPr>
          <w:b/>
        </w:rPr>
        <w:t>$26.87 → $19.06 reflects higher assessed values, not a tax cut — a live source of voter confusion.</w:t>
      </w:r>
      <w:r>
        <w:t xml:space="preserve">the 2024 rate 'drop' was a revaluation. </w:t>
      </w:r>
    </w:p>
    <w:p>
      <w:pPr>
        <w:pStyle w:val="ListBullet"/>
      </w:pPr>
      <w:r>
        <w:rPr>
          <w:b/>
        </w:rPr>
        <w:t>Voters expanded the board 3→5 (2025), kept SB2 (rejected repeal 2.3-to-1, 2026), and declined a second polling place.</w:t>
      </w:r>
      <w:r>
        <w:t xml:space="preserve">governance is in flux. </w:t>
      </w:r>
    </w:p>
    <w:p>
      <w:pPr>
        <w:pStyle w:val="ListBullet"/>
      </w:pPr>
      <w:r>
        <w:rPr>
          <w:b/>
        </w:rPr>
        <w:t>Administrator churn, ousted incumbents, and a federal land-use lawsuit (Avanru senior housing) compound the risk.</w:t>
      </w:r>
      <w:r>
        <w:t xml:space="preserve">execution capacity is thinning. </w:t>
      </w:r>
    </w:p>
    <w:p>
      <w:r>
        <w:rPr>
          <w:b/>
          <w:color w:val="1F3A5F"/>
          <w:sz w:val="26"/>
        </w:rPr>
        <w:t>The recommendation in one line</w:t>
      </w:r>
    </w:p>
    <w:p>
      <w:r>
        <w:rPr>
          <w:b/>
        </w:rPr>
        <w:t>Stabilize the administrator, abandon bond-first capital for a reserve/state-aid/SRF strategy the electorate already rewards, and tell voters the truth about revaluation and the budget — in that order.</w:t>
      </w:r>
    </w:p>
    <w:p>
      <w:r>
        <w:rPr>
          <w:i/>
          <w:color w:val="5F5E5A"/>
          <w:sz w:val="16"/>
        </w:rPr>
        <w:t>Provenance: [R-AR] real, from Town of Swanzey Annual Reports 2011–2025; [R-news] local news (2026); [D] derived; [M] modeled.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