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Capital Plan — Funding Every Project Without Another Failed Bond</w:t>
      </w:r>
    </w:p>
    <w:p>
      <w:r>
        <w:rPr>
          <w:i/>
          <w:color w:val="5F5E5A"/>
          <w:sz w:val="19"/>
        </w:rPr>
        <w:t>The companion 'fix' to the Findings. Town of Swanzey · PublicLogic VAULT · June 2026</w:t>
      </w:r>
    </w:p>
    <w:p>
      <w:r>
        <w:rPr>
          <w:b/>
          <w:color w:val="1F3A5F"/>
          <w:sz w:val="26"/>
        </w:rPr>
        <w:t>The problem (Finding 4)</w:t>
      </w:r>
    </w:p>
    <w:p>
      <w:r>
        <w:t>Swanzey can't borrow. Facility bonds win majorities but die at the 3/5 wall — the public works facility failed at 3/5 in both 2024 and 2026. Meanwhile the bridge, a street, the water system, and Town Hall accessibility all wait behind it, aging and getting more expensive.</w:t>
      </w:r>
    </w:p>
    <w:p>
      <w:r>
        <w:rPr>
          <w:b/>
          <w:color w:val="1F3A5F"/>
          <w:sz w:val="26"/>
        </w:rPr>
        <w:t>The one idea: restructure the money, don't re-argue the vote</w:t>
      </w:r>
    </w:p>
    <w:p>
      <w:pPr>
        <w:pStyle w:val="ListBullet"/>
      </w:pPr>
      <w:r>
        <w:rPr>
          <w:b/>
        </w:rPr>
        <w:t xml:space="preserve">Make other people pay first. </w:t>
      </w:r>
      <w:r>
        <w:t>Bridge aid covers 80% (RSA 234); water runs through the NHDES DWSRF (a 1% loan repaid by water rates, plus grants and principal forgiveness); block grants and CDBG carry the street and ADA work.</w:t>
      </w:r>
    </w:p>
    <w:p>
      <w:pPr>
        <w:pStyle w:val="ListBullet"/>
      </w:pPr>
      <w:r>
        <w:rPr>
          <w:b/>
        </w:rPr>
        <w:t xml:space="preserve">Save instead of borrow. </w:t>
      </w:r>
      <w:r>
        <w:t>A bond needs a 3/5 supermajority; a capital reserve fund (RSA 35) needs only a simple majority. Save up and pay cash.</w:t>
      </w:r>
    </w:p>
    <w:p>
      <w:pPr>
        <w:pStyle w:val="ListBullet"/>
      </w:pPr>
      <w:r>
        <w:rPr>
          <w:b/>
        </w:rPr>
        <w:t xml:space="preserve">Smooth it out. </w:t>
      </w:r>
      <w:r>
        <w:t>Phase the deposits so the net-new tax impact peaks small, then falls below today's.</w:t>
      </w:r>
    </w:p>
    <w:p>
      <w:r>
        <w:rPr>
          <w:b/>
          <w:color w:val="1F3A5F"/>
          <w:sz w:val="26"/>
        </w:rPr>
        <w:t>The funding stack — 62% is other people's money</w:t>
      </w:r>
    </w:p>
    <w:p>
      <w:r>
        <w:drawing>
          <wp:inline xmlns:a="http://schemas.openxmlformats.org/drawingml/2006/main" xmlns:pic="http://schemas.openxmlformats.org/drawingml/2006/picture">
            <wp:extent cx="5669280" cy="3151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pital-funding-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Of about $5.275M in capital needs, only ~$2.005M (38%) is local — raised through majority-vote reserves, with zero new bonds and zero 3/5 votes.</w:t>
      </w:r>
    </w:p>
    <w:p>
      <w:r>
        <w:rPr>
          <w:b/>
          <w:color w:val="1F3A5F"/>
          <w:sz w:val="26"/>
        </w:rPr>
        <w:t>What it costs a $300,000 home</w:t>
      </w:r>
    </w:p>
    <w:p>
      <w:r>
        <w:drawing>
          <wp:inline xmlns:a="http://schemas.openxmlformats.org/drawingml/2006/main" xmlns:pic="http://schemas.openxmlformats.org/drawingml/2006/picture">
            <wp:extent cx="5669280" cy="30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pital-tax-gl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hardest year adds about $75; by 2032 the backlog is cleared and the capital burden falls below where it is today.</w:t>
      </w:r>
    </w:p>
    <w:p>
      <w:r>
        <w:rPr>
          <w:b/>
          <w:color w:val="1F3A5F"/>
          <w:sz w:val="26"/>
        </w:rPr>
        <w:t>This is already underway — the record validates it</w:t>
      </w:r>
    </w:p>
    <w:p>
      <w:r>
        <w:t>In 2025 voters acquired the West Swanzey water system (RSA 38:4), created a West Swanzey TIF district, and funded a study explicitly expecting '100% principal forgiveness' from the DWSRF. The town has already started financing capital the way this plan recommends; the task is to extend that discipline to the facility, bridge, street, and ADA projects.</w:t>
      </w:r>
    </w:p>
    <w:p>
      <w:r>
        <w:rPr>
          <w:b/>
          <w:color w:val="1F3A5F"/>
          <w:sz w:val="26"/>
        </w:rPr>
        <w:t>Recommendation</w:t>
      </w:r>
    </w:p>
    <w:p>
      <w:r>
        <w:rPr>
          <w:b/>
        </w:rPr>
        <w:t>Adopt a six-year CIP built on majority-vote capital reserve funds; pursue 80% bridge aid and DWSRF water financing; build the public works facility pay-go by 2031 — no bond, no 3/5 vote. Model warrant articles accompany this report (Capital Warrant Articles.pdf).</w:t>
      </w:r>
    </w:p>
    <w:p>
      <w:r>
        <w:rPr>
          <w:i/>
          <w:color w:val="5F5E5A"/>
          <w:sz w:val="19"/>
        </w:rPr>
        <w:t>Funding mechanics &amp; statutory shares are real (RSA 234/35/38, NHDES DWSRF); project costs and the tax glide are planning estimates [M] — confirm with engineering, NHDOT/NHDES, and DRA.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