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0" w:line="252" w:lineRule="auto"/>
        <w:jc w:val="left"/>
      </w:pPr>
      <w:r>
        <w:rPr>
          <w:rFonts w:ascii="Calibri" w:hAnsi="Calibri"/>
          <w:b/>
          <w:i w:val="0"/>
          <w:color w:val="A9772F"/>
          <w:sz w:val="22"/>
        </w:rPr>
        <w:t>PUBLICLOGIC</w:t>
      </w:r>
    </w:p>
    <w:p>
      <w:pPr>
        <w:spacing w:before="0" w:after="0" w:line="252" w:lineRule="auto"/>
        <w:jc w:val="left"/>
      </w:pPr>
      <w:r>
        <w:rPr>
          <w:rFonts w:ascii="Georgia" w:hAnsi="Georgia"/>
          <w:b/>
          <w:i w:val="0"/>
          <w:color w:val="1A1D20"/>
          <w:sz w:val="48"/>
        </w:rPr>
        <w:t>Permit Path Scan</w:t>
      </w:r>
    </w:p>
    <w:p>
      <w:pPr>
        <w:spacing w:before="20" w:after="120" w:line="252" w:lineRule="auto"/>
        <w:jc w:val="left"/>
      </w:pPr>
      <w:r>
        <w:rPr>
          <w:rFonts w:ascii="Calibri" w:hAnsi="Calibri"/>
          <w:b w:val="0"/>
          <w:i/>
          <w:color w:val="0F4C3A"/>
          <w:sz w:val="22"/>
        </w:rPr>
        <w:t>Scope &amp; Fee Sheet  ·  Cheap triage — “what path am I probably on?”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WHERE IT SITS</w:t>
      </w:r>
    </w:p>
    <w:p>
      <w:pPr>
        <w:spacing w:before="40" w:after="120" w:line="252" w:lineRule="auto"/>
        <w:jc w:val="left"/>
      </w:pPr>
      <w:r>
        <w:rPr>
          <w:rFonts w:ascii="Calibri" w:hAnsi="Calibri"/>
          <w:b w:val="0"/>
          <w:i w:val="0"/>
          <w:color w:val="1A1D20"/>
          <w:sz w:val="21"/>
        </w:rPr>
        <w:t>Between the free LogicCommons tools and a full paid diagnostic. The free templates help you understand the path in general. The Permit Path Scan tells YOU, for YOUR specific question, the path you're most likely on — who to ask first, and what to expect — before you spend real money or time.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WHAT IT ANSWERS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—  </w:t>
      </w:r>
      <w:r>
        <w:rPr>
          <w:rFonts w:ascii="Calibri" w:hAnsi="Calibri"/>
          <w:b w:val="0"/>
          <w:i w:val="0"/>
          <w:color w:val="1A1D20"/>
          <w:sz w:val="21"/>
        </w:rPr>
        <w:t>Is this a zoning, building, health, conservation, or licensing question — or several at once?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—  </w:t>
      </w:r>
      <w:r>
        <w:rPr>
          <w:rFonts w:ascii="Calibri" w:hAnsi="Calibri"/>
          <w:b w:val="0"/>
          <w:i w:val="0"/>
          <w:color w:val="1A1D20"/>
          <w:sz w:val="21"/>
        </w:rPr>
        <w:t>Which board or office actually handles it, and who do I talk to first?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—  </w:t>
      </w:r>
      <w:r>
        <w:rPr>
          <w:rFonts w:ascii="Calibri" w:hAnsi="Calibri"/>
          <w:b w:val="0"/>
          <w:i w:val="0"/>
          <w:color w:val="1A1D20"/>
          <w:sz w:val="21"/>
        </w:rPr>
        <w:t>Do I likely need a permit, a variance, a special permit, or nothing at all?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—  </w:t>
      </w:r>
      <w:r>
        <w:rPr>
          <w:rFonts w:ascii="Calibri" w:hAnsi="Calibri"/>
          <w:b w:val="0"/>
          <w:i w:val="0"/>
          <w:color w:val="1A1D20"/>
          <w:sz w:val="21"/>
        </w:rPr>
        <w:t>What documents will I probably be asked for?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A9772F"/>
          <w:sz w:val="21"/>
        </w:rPr>
        <w:t xml:space="preserve">—  </w:t>
      </w:r>
      <w:r>
        <w:rPr>
          <w:rFonts w:ascii="Calibri" w:hAnsi="Calibri"/>
          <w:b w:val="0"/>
          <w:i w:val="0"/>
          <w:color w:val="1A1D20"/>
          <w:sz w:val="21"/>
        </w:rPr>
        <w:t>Roughly how long does this path usually take, and where do people get stuck?</w:t>
      </w:r>
    </w:p>
    <w:p>
      <w:pPr>
        <w:spacing w:before="120" w:after="4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WHAT YOU GET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736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Likely Path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color w:val="1A1D20"/>
                <w:sz w:val="20"/>
              </w:rPr>
              <w:t>The route you're probably on, in plain language.</w:t>
            </w:r>
          </w:p>
        </w:tc>
      </w:tr>
      <w:tr>
        <w:tc>
          <w:tcPr>
            <w:tcW w:type="dxa" w:w="2736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First Contact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color w:val="1A1D20"/>
                <w:sz w:val="20"/>
              </w:rPr>
              <w:t>The specific board, office, or person to start with.</w:t>
            </w:r>
          </w:p>
        </w:tc>
      </w:tr>
      <w:tr>
        <w:tc>
          <w:tcPr>
            <w:tcW w:type="dxa" w:w="2736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Document Checklist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color w:val="1A1D20"/>
                <w:sz w:val="20"/>
              </w:rPr>
              <w:t>What you'll most likely be asked to bring.</w:t>
            </w:r>
          </w:p>
        </w:tc>
      </w:tr>
      <w:tr>
        <w:tc>
          <w:tcPr>
            <w:tcW w:type="dxa" w:w="2736"/>
            <w:shd w:val="clear" w:fill="0F4C3A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Watch-outs</w:t>
            </w:r>
          </w:p>
        </w:tc>
        <w:tc>
          <w:tcPr>
            <w:tcW w:type="dxa" w:w="7200"/>
          </w:tcPr>
          <w:p>
            <w:r>
              <w:rPr>
                <w:rFonts w:ascii="Calibri" w:hAnsi="Calibri"/>
                <w:color w:val="1A1D20"/>
                <w:sz w:val="20"/>
              </w:rPr>
              <w:t>The common places this kind of request stalls.</w:t>
            </w:r>
          </w:p>
        </w:tc>
      </w:tr>
    </w:tbl>
    <w:p>
      <w:pPr>
        <w:spacing w:before="160" w:after="2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FEE</w:t>
      </w:r>
    </w:p>
    <w:p>
      <w:pPr>
        <w:spacing w:before="40" w:after="20" w:line="252" w:lineRule="auto"/>
        <w:jc w:val="left"/>
      </w:pPr>
      <w:r>
        <w:rPr>
          <w:rFonts w:ascii="Georgia" w:hAnsi="Georgia"/>
          <w:b/>
          <w:i w:val="0"/>
          <w:color w:val="1A1D20"/>
          <w:sz w:val="24"/>
        </w:rPr>
        <w:t>$250 – $750</w:t>
      </w:r>
      <w:r>
        <w:rPr>
          <w:rFonts w:ascii="Calibri" w:hAnsi="Calibri"/>
          <w:b w:val="0"/>
          <w:i/>
          <w:color w:val="6B6660"/>
          <w:sz w:val="24"/>
        </w:rPr>
        <w:t xml:space="preserve">   flat fee, depending on how many systems the question touches.</w:t>
      </w:r>
    </w:p>
    <w:p>
      <w:pPr>
        <w:spacing w:before="40" w:after="120" w:line="252" w:lineRule="auto"/>
        <w:jc w:val="left"/>
      </w:pPr>
      <w:r>
        <w:rPr>
          <w:rFonts w:ascii="Calibri" w:hAnsi="Calibri"/>
          <w:b w:val="0"/>
          <w:i/>
          <w:color w:val="6B6660"/>
          <w:sz w:val="19"/>
        </w:rPr>
        <w:t>Turnaround: a few business days. The Scan is triage, not a guarantee — it points you at the most likely path so you can move with confidence; the permitting authority always makes the final call. If you go on to a Stewardship Map, the Scan fee credits toward it.</w:t>
      </w:r>
    </w:p>
    <w:p>
      <w:pPr>
        <w:spacing w:before="40" w:after="20" w:line="252" w:lineRule="auto"/>
        <w:jc w:val="left"/>
      </w:pPr>
      <w:r>
        <w:rPr>
          <w:rFonts w:ascii="Calibri" w:hAnsi="Calibri"/>
          <w:b/>
          <w:i w:val="0"/>
          <w:color w:val="0F4C3A"/>
          <w:sz w:val="20"/>
        </w:rPr>
        <w:t>WHAT IT IS NOT</w:t>
      </w:r>
    </w:p>
    <w:p>
      <w:pPr>
        <w:spacing w:before="40" w:after="160" w:line="252" w:lineRule="auto"/>
        <w:jc w:val="left"/>
      </w:pPr>
      <w:r>
        <w:rPr>
          <w:rFonts w:ascii="Calibri" w:hAnsi="Calibri"/>
          <w:b/>
          <w:i w:val="0"/>
          <w:color w:val="1A1D20"/>
          <w:sz w:val="21"/>
        </w:rPr>
        <w:t xml:space="preserve">It does not replace the municipality, inspector, planner, or permitting authority. </w:t>
      </w:r>
      <w:r>
        <w:rPr>
          <w:rFonts w:ascii="Calibri" w:hAnsi="Calibri"/>
          <w:b w:val="0"/>
          <w:i w:val="0"/>
          <w:color w:val="1A1D20"/>
          <w:sz w:val="21"/>
        </w:rPr>
        <w:t>It helps you ask better questions, gather the right information, and avoid wasting time and money on the wrong path.</w:t>
      </w:r>
    </w:p>
    <w:p>
      <w:pPr>
        <w:spacing w:before="40" w:after="40" w:line="252" w:lineRule="auto"/>
        <w:jc w:val="center"/>
      </w:pPr>
      <w:r>
        <w:rPr>
          <w:rFonts w:ascii="Georgia" w:hAnsi="Georgia"/>
          <w:b/>
          <w:i/>
          <w:color w:val="0F4C3A"/>
          <w:sz w:val="24"/>
        </w:rPr>
        <w:t>LogicCommons helps people start.  PublicLogic helps them carry it through.</w:t>
      </w:r>
    </w:p>
    <w:p>
      <w:pPr>
        <w:spacing w:before="40" w:after="160" w:line="252" w:lineRule="auto"/>
        <w:jc w:val="center"/>
      </w:pPr>
      <w:r>
        <w:rPr>
          <w:rFonts w:ascii="Calibri" w:hAnsi="Calibri"/>
          <w:b/>
          <w:i w:val="0"/>
          <w:color w:val="A9772F"/>
          <w:sz w:val="19"/>
        </w:rPr>
        <w:t>Implementation is the service.  Institutional Stewardship is the method.</w:t>
      </w:r>
    </w:p>
    <w:p>
      <w:pPr>
        <w:spacing w:before="0" w:after="0" w:line="252" w:lineRule="auto"/>
        <w:jc w:val="center"/>
      </w:pPr>
      <w:r>
        <w:rPr>
          <w:rFonts w:ascii="Calibri" w:hAnsi="Calibri"/>
          <w:b/>
          <w:i w:val="0"/>
          <w:color w:val="1A1D20"/>
          <w:sz w:val="17"/>
        </w:rPr>
        <w:t>PublicLogic LLC</w:t>
      </w:r>
      <w:r>
        <w:rPr>
          <w:rFonts w:ascii="Calibri" w:hAnsi="Calibri"/>
          <w:b w:val="0"/>
          <w:i w:val="0"/>
          <w:color w:val="6B6660"/>
          <w:sz w:val="17"/>
        </w:rPr>
        <w:t xml:space="preserve">   ·   Nathan Boudreau, MPA / MCPPO   ·   Dr. Allison Weiss Rothschild   ·   Private &amp; Confidential</w:t>
      </w:r>
    </w:p>
    <w:sectPr w:rsidR="00FC693F" w:rsidRPr="0006063C" w:rsidSect="00034616">
      <w:pgSz w:w="12240" w:h="15840"/>
      <w:pgMar w:top="864" w:right="1152" w:bottom="79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