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Findings</w:t>
      </w:r>
    </w:p>
    <w:p>
      <w:r>
        <w:rPr>
          <w:i/>
          <w:color w:val="5F5E5A"/>
          <w:sz w:val="19"/>
        </w:rPr>
        <w:t>Ten findings from the 2011–2026 record, with evidence. Provenance: [R-AR] real, from Town of Swanzey Annual Reports 2011–2025; [R-news] local news (2026); [D] derived; [M] modeled.</w:t>
      </w:r>
    </w:p>
    <w:p>
      <w:r>
        <w:rPr>
          <w:b/>
          <w:color w:val="1F3A5F"/>
          <w:sz w:val="26"/>
        </w:rPr>
        <w:t>Finding 1 — Operating budget has entered a high-growth regime</w:t>
      </w:r>
    </w:p>
    <w:p>
      <w:r>
        <w:t>After a flat early-2010s (~+1%/yr, 2012–2019), the operating budget shifted to a +6–7%/yr escalation (2020–2026), rising 55% over the period to $8.94M (figures are warrant amounts keyed to meeting year; deliberative amendments were minor). Growth is driven by non-discretionary costs (wages, health insurance, the ambulance contract).</w:t>
      </w:r>
    </w:p>
    <w:p>
      <w:r>
        <w:drawing>
          <wp:inline xmlns:a="http://schemas.openxmlformats.org/drawingml/2006/main" xmlns:pic="http://schemas.openxmlformats.org/drawingml/2006/picture">
            <wp:extent cx="5760720" cy="3169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dget-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42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Year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Operating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YoY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2012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$5,747,885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$5,705,757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2016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$6,262,426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$6,067,144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2020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$6,303,000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$6,072,735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amended→$6.33M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2023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$7,425,000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$7,468,834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2025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$8,370,000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$7,935,699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2026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$8,939,036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$8,891,785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+6.8%</w:t>
            </w:r>
          </w:p>
        </w:tc>
      </w:tr>
    </w:tbl>
    <w:p>
      <w:r>
        <w:rPr>
          <w:b/>
          <w:color w:val="1F3A5F"/>
          <w:sz w:val="26"/>
        </w:rPr>
        <w:t>Finding 2 — The default-budget lever has effectively disappeared</w:t>
      </w:r>
    </w:p>
    <w:p>
      <w:r>
        <w:t>In SB2 towns, rejecting the operating budget installs the default budget. In Swanzey that gap has been near-zero or negative repeatedly: the default actually exceeded the proposal in 2017, 2018, and 2023, and came within ~$50K in 2022, 2024, and 2026 ($47K, 0.5%). 'Vote no to save money' largely doesn't work; the fiscal pressure valve is mostly closed.</w:t>
      </w:r>
    </w:p>
    <w:p>
      <w:r>
        <w:drawing>
          <wp:inline xmlns:a="http://schemas.openxmlformats.org/drawingml/2006/main" xmlns:pic="http://schemas.openxmlformats.org/drawingml/2006/picture">
            <wp:extent cx="5760720" cy="3071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fault-gap-collap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3 — Operating-budget support is eroding toward the 50% cliff</w:t>
      </w:r>
    </w:p>
    <w:p>
      <w:r>
        <w:t>Voter approval of the operating budget has fallen from ~80% (2011–2015) to 57% (2025). On the current trend a budget failure becomes plausible within a few cycles — though, per Finding 2, the fiscal consequence would now be muted.</w:t>
      </w:r>
    </w:p>
    <w:p>
      <w:r>
        <w:drawing>
          <wp:inline xmlns:a="http://schemas.openxmlformats.org/drawingml/2006/main" xmlns:pic="http://schemas.openxmlformats.org/drawingml/2006/picture">
            <wp:extent cx="5760720" cy="3046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dget-support-ero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4 — Capital paralysis at the 3/5 wall</w:t>
      </w:r>
    </w:p>
    <w:p>
      <w:r>
        <w:t>The same electorate gives tax credits ~90% and capital reserves ~78%, but gives facility bonds only 55–58% — enough for a majority, never the 3/5 a bond requires. The public works facility failed at 3/5 in both 2024 and 2026. Swanzey does not have an opposition problem; it has a supermajority-threshold problem.</w:t>
      </w:r>
    </w:p>
    <w:p>
      <w:r>
        <w:drawing>
          <wp:inline xmlns:a="http://schemas.openxmlformats.org/drawingml/2006/main" xmlns:pic="http://schemas.openxmlformats.org/drawingml/2006/picture">
            <wp:extent cx="5760720" cy="3382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erves-vs-bo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5 — The 2024 rate decline was a revaluation, not a tax cut</w:t>
      </w:r>
    </w:p>
    <w:p>
      <w:r>
        <w:t>The total tax rate moved $26.87 (2023) → $19.06 (2024) → $20.18 (2025). The 2024 drop reflects a revaluation that raised assessed values; tax bills did not fall proportionally. Education remains ~60% of the bill and outside municipal control.</w:t>
      </w:r>
    </w:p>
    <w:p>
      <w:r>
        <w:drawing>
          <wp:inline xmlns:a="http://schemas.openxmlformats.org/drawingml/2006/main" xmlns:pic="http://schemas.openxmlformats.org/drawingml/2006/picture">
            <wp:extent cx="5760720" cy="33524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x-rate-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6 — Governance is being actively restructured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Year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Reading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Expand Select Board 3→5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2025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PASS 740–653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Want more oversight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Second polling location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2025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FAIL 673–727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Don't change access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Repeal SB2 (floor meeting)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2026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FAIL 345–809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Keep the all-day ballot</w:t>
            </w:r>
          </w:p>
        </w:tc>
      </w:tr>
    </w:tbl>
    <w:p>
      <w:r>
        <w:t>Notably, the Select Board recommended the SB2 repeal and the voters overruled them 2.3-to-1 — a clear board-vs-electorate divergence.</w:t>
      </w:r>
    </w:p>
    <w:p>
      <w:r>
        <w:rPr>
          <w:b/>
          <w:color w:val="1F3A5F"/>
          <w:sz w:val="26"/>
        </w:rPr>
        <w:t>Finding 7 — Administrative instability is the master pain</w:t>
      </w:r>
    </w:p>
    <w:p>
      <w:r>
        <w:t>Three town administrators in roughly two years: Michael Branley resigned (to Windham) in early 2025; Alex Torpey (Rethink Local) served as interim; Lori Rautiola was hired April 2025 and announced departure for July 2026 after about a year. Every other initiative restarts with each turnover; institutional memory bleeds out.</w:t>
      </w:r>
    </w:p>
    <w:p>
      <w:r>
        <w:rPr>
          <w:b/>
          <w:color w:val="1F3A5F"/>
          <w:sz w:val="26"/>
        </w:rPr>
        <w:t>Finding 8 — Development and land use are a live legal exposure</w:t>
      </w:r>
    </w:p>
    <w:p>
      <w:r>
        <w:t>The Avanru 74-unit senior-housing project was denied a CDBG after years of friction and is the subject of a federal lawsuit alleging the Zoning and Planning boards relied on public opposition rather than zoning criteria; the Base Hill Road storage facility has been a multi-year dispute. These chill housing and economic development and carry litigation risk.</w:t>
      </w:r>
    </w:p>
    <w:p>
      <w:r>
        <w:rPr>
          <w:b/>
          <w:color w:val="1F3A5F"/>
          <w:sz w:val="26"/>
        </w:rPr>
        <w:t>Finding 9 — The town is absorbing a water utility</w:t>
      </w:r>
    </w:p>
    <w:p>
      <w:r>
        <w:t>In 2025 voters authorized acquiring the West Swanzey water system (RSA 38:4, 822–553), created a West Swanzey TIF district, appropriated $3.5M and $6.4M for water infrastructure, and funded a study explicitly expecting '100% principal forgiveness' (NHDES DWSRF). This is a major new capital and ratepayer-governance obligation — and validates a reserve/SRF financing strategy.</w:t>
      </w:r>
    </w:p>
    <w:p>
      <w:r>
        <w:rPr>
          <w:b/>
          <w:color w:val="1F3A5F"/>
          <w:sz w:val="26"/>
        </w:rPr>
        <w:t>Finding 10 — Electoral volatility is rising</w:t>
      </w:r>
    </w:p>
    <w:p>
      <w:r>
        <w:t>Crowded selectman fields, sub-30-vote margins, ousted incumbents, and recounts (the 2026 public-works tally moved 678→681 on recount). Combined with administrator churn, continuity is the town's scarcest resource.</w:t>
      </w:r>
    </w:p>
    <w:p>
      <w:r>
        <w:rPr>
          <w:i/>
          <w:color w:val="5F5E5A"/>
          <w:sz w:val="16"/>
        </w:rPr>
        <w:t>Provenance: [R-AR] real, from Town of Swanzey Annual Reports 2011–2025; [R-news] local news (2026); [D] derived; [M] modeled.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