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3A5F"/>
          <w:sz w:val="36"/>
        </w:rPr>
        <w:t>Swanzey Strategic Review — Two-Page Summary</w:t>
      </w:r>
    </w:p>
    <w:p>
      <w:pPr>
        <w:spacing w:after="80"/>
      </w:pPr>
      <w:r>
        <w:rPr>
          <w:b w:val="0"/>
          <w:i w:val="0"/>
          <w:color w:val="5F5E5A"/>
          <w:sz w:val="18"/>
        </w:rPr>
        <w:t>Restraint and Its Limits · Prepared for the Board of Selectmen · PublicLogic VAULT · v0.1 · June 2026</w:t>
      </w:r>
    </w:p>
    <w:p>
      <w:pPr>
        <w:spacing w:after="80"/>
      </w:pPr>
      <w:r>
        <w:rPr>
          <w:b/>
          <w:i w:val="0"/>
          <w:color w:val="1F3A5F"/>
          <w:sz w:val="18"/>
        </w:rPr>
        <w:t xml:space="preserve">The argument: </w:t>
      </w:r>
      <w:r>
        <w:rPr>
          <w:b w:val="0"/>
          <w:i w:val="0"/>
          <w:sz w:val="18"/>
        </w:rPr>
        <w:t>Swanzey leads with restraint. It built a decade of voter trust — and, used the same way again, it will starve the Town's capital and erode that trust. Don't abandon restraint; upgrade the instrument: save first, leverage outside money, tell residents the plain truth.</w:t>
      </w:r>
    </w:p>
    <w:p>
      <w:pPr>
        <w:spacing w:before="160" w:after="40"/>
      </w:pPr>
      <w:r>
        <w:rPr>
          <w:b/>
          <w:i w:val="0"/>
          <w:color w:val="1F3A5F"/>
          <w:sz w:val="22"/>
        </w:rPr>
        <w:t>A.  By the numbers (2012–2026)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736"/>
          </w:tcPr>
          <w:p>
            <w:r>
              <w:rPr>
                <w:b/>
                <w:sz w:val="16"/>
              </w:rPr>
              <w:t>Where it stands</w:t>
            </w:r>
          </w:p>
        </w:tc>
        <w:tc>
          <w:tcPr>
            <w:tcW w:type="dxa" w:w="4752"/>
          </w:tcPr>
          <w:p>
            <w:r>
              <w:rPr>
                <w:b/>
                <w:sz w:val="16"/>
              </w:rPr>
              <w:t>What it means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F3A5F"/>
                <w:sz w:val="16"/>
              </w:rPr>
              <w:t>Operating budget</w:t>
            </w:r>
          </w:p>
        </w:tc>
        <w:tc>
          <w:tcPr>
            <w:tcW w:type="dxa" w:w="2736"/>
          </w:tcPr>
          <w:p>
            <w:r>
              <w:rPr>
                <w:b w:val="0"/>
                <w:sz w:val="16"/>
              </w:rPr>
              <w:t>$5.75M → $8.94M (+55%)</w:t>
            </w:r>
          </w:p>
        </w:tc>
        <w:tc>
          <w:tcPr>
            <w:tcW w:type="dxa" w:w="4752"/>
          </w:tcPr>
          <w:p>
            <w:r>
              <w:rPr>
                <w:b w:val="0"/>
                <w:sz w:val="16"/>
              </w:rPr>
              <w:t>Now +6–7%/yr — health, wages, retirement, ambulance; not new programs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F3A5F"/>
                <w:sz w:val="16"/>
              </w:rPr>
              <w:t>Budget voter support</w:t>
            </w:r>
          </w:p>
        </w:tc>
        <w:tc>
          <w:tcPr>
            <w:tcW w:type="dxa" w:w="2736"/>
          </w:tcPr>
          <w:p>
            <w:r>
              <w:rPr>
                <w:b w:val="0"/>
                <w:sz w:val="16"/>
              </w:rPr>
              <w:t>~81% → 57%</w:t>
            </w:r>
          </w:p>
        </w:tc>
        <w:tc>
          <w:tcPr>
            <w:tcW w:type="dxa" w:w="4752"/>
          </w:tcPr>
          <w:p>
            <w:r>
              <w:rPr>
                <w:b w:val="0"/>
                <w:sz w:val="16"/>
              </w:rPr>
              <w:t>Trust eroding even though taxes were held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F3A5F"/>
                <w:sz w:val="16"/>
              </w:rPr>
              <w:t>Reserves &amp; tax credits</w:t>
            </w:r>
          </w:p>
        </w:tc>
        <w:tc>
          <w:tcPr>
            <w:tcW w:type="dxa" w:w="2736"/>
          </w:tcPr>
          <w:p>
            <w:r>
              <w:rPr>
                <w:b w:val="0"/>
                <w:sz w:val="16"/>
              </w:rPr>
              <w:t>pass 78–90%</w:t>
            </w:r>
          </w:p>
        </w:tc>
        <w:tc>
          <w:tcPr>
            <w:tcW w:type="dxa" w:w="4752"/>
          </w:tcPr>
          <w:p>
            <w:r>
              <w:rPr>
                <w:b w:val="0"/>
                <w:sz w:val="16"/>
              </w:rPr>
              <w:t>The town will SAVE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F3A5F"/>
                <w:sz w:val="16"/>
              </w:rPr>
              <w:t>Facility bonds (need 3/5)</w:t>
            </w:r>
          </w:p>
        </w:tc>
        <w:tc>
          <w:tcPr>
            <w:tcW w:type="dxa" w:w="2736"/>
          </w:tcPr>
          <w:p>
            <w:r>
              <w:rPr>
                <w:b w:val="0"/>
                <w:sz w:val="16"/>
              </w:rPr>
              <w:t>55–58% — failed 2024 &amp; 2026</w:t>
            </w:r>
          </w:p>
        </w:tc>
        <w:tc>
          <w:tcPr>
            <w:tcW w:type="dxa" w:w="4752"/>
          </w:tcPr>
          <w:p>
            <w:r>
              <w:rPr>
                <w:b w:val="0"/>
                <w:sz w:val="16"/>
              </w:rPr>
              <w:t>The town won't BORROW; a majority isn't enough at the 3/5 wall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F3A5F"/>
                <w:sz w:val="16"/>
              </w:rPr>
              <w:t>Default vs. proposed budget</w:t>
            </w:r>
          </w:p>
        </w:tc>
        <w:tc>
          <w:tcPr>
            <w:tcW w:type="dxa" w:w="2736"/>
          </w:tcPr>
          <w:p>
            <w:r>
              <w:rPr>
                <w:b w:val="0"/>
                <w:sz w:val="16"/>
              </w:rPr>
              <w:t>within $47K (2026)</w:t>
            </w:r>
          </w:p>
        </w:tc>
        <w:tc>
          <w:tcPr>
            <w:tcW w:type="dxa" w:w="4752"/>
          </w:tcPr>
          <w:p>
            <w:r>
              <w:rPr>
                <w:b w:val="0"/>
                <w:sz w:val="16"/>
              </w:rPr>
              <w:t>'Vote no to save' no longer works; in 2017/18/23 the default was higher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F3A5F"/>
                <w:sz w:val="16"/>
              </w:rPr>
              <w:t>Total tax rate</w:t>
            </w:r>
          </w:p>
        </w:tc>
        <w:tc>
          <w:tcPr>
            <w:tcW w:type="dxa" w:w="2736"/>
          </w:tcPr>
          <w:p>
            <w:r>
              <w:rPr>
                <w:b w:val="0"/>
                <w:sz w:val="16"/>
              </w:rPr>
              <w:t>$24.51 (2021) → $20.18 (2025)</w:t>
            </w:r>
          </w:p>
        </w:tc>
        <w:tc>
          <w:tcPr>
            <w:tcW w:type="dxa" w:w="4752"/>
          </w:tcPr>
          <w:p>
            <w:r>
              <w:rPr>
                <w:b w:val="0"/>
                <w:sz w:val="16"/>
              </w:rPr>
              <w:t>2024 drop was a revaluation, not a cut; ~60% of the bill is school/county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F3A5F"/>
                <w:sz w:val="16"/>
              </w:rPr>
              <w:t>Town administrators</w:t>
            </w:r>
          </w:p>
        </w:tc>
        <w:tc>
          <w:tcPr>
            <w:tcW w:type="dxa" w:w="2736"/>
          </w:tcPr>
          <w:p>
            <w:r>
              <w:rPr>
                <w:b w:val="0"/>
                <w:sz w:val="16"/>
              </w:rPr>
              <w:t>3 in ~2 years</w:t>
            </w:r>
          </w:p>
        </w:tc>
        <w:tc>
          <w:tcPr>
            <w:tcW w:type="dxa" w:w="4752"/>
          </w:tcPr>
          <w:p>
            <w:r>
              <w:rPr>
                <w:b w:val="0"/>
                <w:sz w:val="16"/>
              </w:rPr>
              <w:t>Continuity is the scarcest resource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F3A5F"/>
                <w:sz w:val="16"/>
              </w:rPr>
              <w:t>New obligation</w:t>
            </w:r>
          </w:p>
        </w:tc>
        <w:tc>
          <w:tcPr>
            <w:tcW w:type="dxa" w:w="2736"/>
          </w:tcPr>
          <w:p>
            <w:r>
              <w:rPr>
                <w:b w:val="0"/>
                <w:sz w:val="16"/>
              </w:rPr>
              <w:t>West Swanzey water (2025)</w:t>
            </w:r>
          </w:p>
        </w:tc>
        <w:tc>
          <w:tcPr>
            <w:tcW w:type="dxa" w:w="4752"/>
          </w:tcPr>
          <w:p>
            <w:r>
              <w:rPr>
                <w:b w:val="0"/>
                <w:sz w:val="16"/>
              </w:rPr>
              <w:t>A multi-million utility now on the books</w:t>
            </w:r>
          </w:p>
        </w:tc>
      </w:tr>
    </w:tbl>
    <w:p>
      <w:pPr>
        <w:spacing w:before="160" w:after="40"/>
      </w:pPr>
      <w:r>
        <w:rPr>
          <w:b/>
          <w:i w:val="0"/>
          <w:color w:val="1F3A5F"/>
          <w:sz w:val="22"/>
        </w:rPr>
        <w:t>B.  The pattern — confidence up, capacity 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</w:tcPr>
          <w:p>
            <w:r>
              <w:rPr>
                <w:b/>
                <w:sz w:val="16"/>
              </w:rPr>
              <w:t>The consistent choice</w:t>
            </w:r>
          </w:p>
        </w:tc>
        <w:tc>
          <w:tcPr>
            <w:tcW w:type="dxa" w:w="3744"/>
          </w:tcPr>
          <w:p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3168"/>
          </w:tcPr>
          <w:p>
            <w:r>
              <w:rPr>
                <w:b/>
                <w:sz w:val="16"/>
              </w:rPr>
              <w:t>Effect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F3A5F"/>
                <w:sz w:val="16"/>
              </w:rPr>
              <w:t>Say yes to small, no to big</w:t>
            </w:r>
          </w:p>
        </w:tc>
        <w:tc>
          <w:tcPr>
            <w:tcW w:type="dxa" w:w="3744"/>
          </w:tcPr>
          <w:p>
            <w:r>
              <w:rPr>
                <w:b w:val="0"/>
                <w:sz w:val="16"/>
              </w:rPr>
              <w:t>credits ~90%, reserves ~78%, bonds 55–58%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Confidence ↑ · capital ↓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F3A5F"/>
                <w:sz w:val="16"/>
              </w:rPr>
              <w:t>Build budgets to the bone</w:t>
            </w:r>
          </w:p>
        </w:tc>
        <w:tc>
          <w:tcPr>
            <w:tcW w:type="dxa" w:w="3744"/>
          </w:tcPr>
          <w:p>
            <w:r>
              <w:rPr>
                <w:b w:val="0"/>
                <w:sz w:val="16"/>
              </w:rPr>
              <w:t>default ≈ proposal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Lean &amp; trusted ↑ · flexibility ↓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F3A5F"/>
                <w:sz w:val="16"/>
              </w:rPr>
              <w:t>Defer big capital</w:t>
            </w:r>
          </w:p>
        </w:tc>
        <w:tc>
          <w:tcPr>
            <w:tcW w:type="dxa" w:w="3744"/>
          </w:tcPr>
          <w:p>
            <w:r>
              <w:rPr>
                <w:b w:val="0"/>
                <w:sz w:val="16"/>
              </w:rPr>
              <w:t>no facility reserve; facility stuck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Taxes held now ↑ · deficit later ↓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1F3A5F"/>
                <w:sz w:val="16"/>
              </w:rPr>
              <w:t>Hold the tax line</w:t>
            </w:r>
          </w:p>
        </w:tc>
        <w:tc>
          <w:tcPr>
            <w:tcW w:type="dxa" w:w="3744"/>
          </w:tcPr>
          <w:p>
            <w:r>
              <w:rPr>
                <w:b w:val="0"/>
                <w:sz w:val="16"/>
              </w:rPr>
              <w:t>rate restraint for years</w:t>
            </w:r>
          </w:p>
        </w:tc>
        <w:tc>
          <w:tcPr>
            <w:tcW w:type="dxa" w:w="3168"/>
          </w:tcPr>
          <w:p>
            <w:r>
              <w:rPr>
                <w:b w:val="0"/>
                <w:sz w:val="16"/>
              </w:rPr>
              <w:t>Confidence ↑ — until the deficits show, then ↓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b/>
          <w:i w:val="0"/>
          <w:color w:val="1F3A5F"/>
          <w:sz w:val="22"/>
        </w:rPr>
        <w:t>C.  What we would do differently — and why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</w:tcPr>
          <w:p>
            <w:r>
              <w:rPr>
                <w:b/>
                <w:sz w:val="16"/>
              </w:rPr>
              <w:t>Today leads with…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We'd lead with…</w:t>
            </w:r>
          </w:p>
        </w:tc>
        <w:tc>
          <w:tcPr>
            <w:tcW w:type="dxa" w:w="3024"/>
          </w:tcPr>
          <w:p>
            <w:r>
              <w:rPr>
                <w:b/>
                <w:sz w:val="16"/>
              </w:rPr>
              <w:t>Why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First step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F3A5F"/>
                <w:sz w:val="16"/>
              </w:rPr>
              <w:t>“No” to debt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Save first + leverage aid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Majority vote, not 3/5; unlocks capital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Reserve ladder (Q2)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F3A5F"/>
                <w:sz w:val="16"/>
              </w:rPr>
              <w:t>Lean annual budgets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A published 6-year CIP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Surprises become expectations; smooths the rate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CIP drafted (Q1)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F3A5F"/>
                <w:sz w:val="16"/>
              </w:rPr>
              <w:t>One-off bond asks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Majority-vote reserves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Clears the 3/5 wall the town keeps hitting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Warrant articles (Q2)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F3A5F"/>
                <w:sz w:val="16"/>
              </w:rPr>
              <w:t>Tax-rate headlines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Bill + value transparency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Defuses revaluation confusion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One-page explainer (Q1)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F3A5F"/>
                <w:sz w:val="16"/>
              </w:rPr>
              <w:t>Reacting to turnover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Administrator continuity compact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Protects every other initiative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Multi-year TA agreement (Q1)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F3A5F"/>
                <w:sz w:val="16"/>
              </w:rPr>
              <w:t>Case-by-case land use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Criteria-based decisions on the record</w:t>
            </w:r>
          </w:p>
        </w:tc>
        <w:tc>
          <w:tcPr>
            <w:tcW w:type="dxa" w:w="3024"/>
          </w:tcPr>
          <w:p>
            <w:r>
              <w:rPr>
                <w:b w:val="0"/>
                <w:sz w:val="16"/>
              </w:rPr>
              <w:t>Cuts litigation exposure (Avanru)</w:t>
            </w:r>
          </w:p>
        </w:tc>
        <w:tc>
          <w:tcPr>
            <w:tcW w:type="dxa" w:w="2592"/>
          </w:tcPr>
          <w:p>
            <w:r>
              <w:rPr>
                <w:b w:val="0"/>
                <w:sz w:val="16"/>
              </w:rPr>
              <w:t>Counsel at hearings</w:t>
            </w:r>
          </w:p>
        </w:tc>
      </w:tr>
    </w:tbl>
    <w:p>
      <w:pPr>
        <w:spacing w:before="160" w:after="40"/>
      </w:pPr>
      <w:r>
        <w:rPr>
          <w:b/>
          <w:i w:val="0"/>
          <w:color w:val="1F3A5F"/>
          <w:sz w:val="22"/>
        </w:rPr>
        <w:t>D.  Financing the backlog — the math that makes it safe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</w:tcPr>
          <w:p>
            <w:r>
              <w:rPr>
                <w:b/>
                <w:sz w:val="16"/>
              </w:rPr>
              <w:t>Lever</w:t>
            </w:r>
          </w:p>
        </w:tc>
        <w:tc>
          <w:tcPr>
            <w:tcW w:type="dxa" w:w="7200"/>
          </w:tcPr>
          <w:p>
            <w:r>
              <w:rPr>
                <w:b/>
                <w:sz w:val="16"/>
              </w:rPr>
              <w:t>Effect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F3A5F"/>
                <w:sz w:val="16"/>
              </w:rPr>
              <w:t>Stack outside money first</w:t>
            </w:r>
          </w:p>
        </w:tc>
        <w:tc>
          <w:tcPr>
            <w:tcW w:type="dxa" w:w="7200"/>
          </w:tcPr>
          <w:p>
            <w:r>
              <w:rPr>
                <w:b w:val="0"/>
                <w:sz w:val="16"/>
              </w:rPr>
              <w:t>State bridge aid (80%, RSA 234), DWSRF water repaid by rates, CDBG/road aid → ~62% of a ~$5.3M backlog is NON-property-tax money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F3A5F"/>
                <w:sz w:val="16"/>
              </w:rPr>
              <w:t>Reserves, not bonds</w:t>
            </w:r>
          </w:p>
        </w:tc>
        <w:tc>
          <w:tcPr>
            <w:tcW w:type="dxa" w:w="7200"/>
          </w:tcPr>
          <w:p>
            <w:r>
              <w:rPr>
                <w:b w:val="0"/>
                <w:sz w:val="16"/>
              </w:rPr>
              <w:t>Local share (~$2.0M) saved via simple-majority reserves — $0 new bonds, no 3/5 votes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1F3A5F"/>
                <w:sz w:val="16"/>
              </w:rPr>
              <w:t>Phase it</w:t>
            </w:r>
          </w:p>
        </w:tc>
        <w:tc>
          <w:tcPr>
            <w:tcW w:type="dxa" w:w="7200"/>
          </w:tcPr>
          <w:p>
            <w:r>
              <w:rPr>
                <w:b w:val="0"/>
                <w:sz w:val="16"/>
              </w:rPr>
              <w:t>Net-new impact peaks ≈ +$75/yr on a $300K home, then drops BELOW today once built</w:t>
            </w:r>
          </w:p>
        </w:tc>
      </w:tr>
    </w:tbl>
    <w:p>
      <w:pPr>
        <w:spacing w:before="160" w:after="40"/>
      </w:pPr>
      <w:r>
        <w:rPr>
          <w:b/>
          <w:i w:val="0"/>
          <w:color w:val="1F3A5F"/>
          <w:sz w:val="22"/>
        </w:rPr>
        <w:t>E.  Twelve-month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008"/>
          </w:tcPr>
          <w:p>
            <w:r>
              <w:rPr>
                <w:b/>
                <w:sz w:val="16"/>
              </w:rPr>
              <w:t>Quarter</w:t>
            </w:r>
          </w:p>
        </w:tc>
        <w:tc>
          <w:tcPr>
            <w:tcW w:type="dxa" w:w="8640"/>
          </w:tcPr>
          <w:p>
            <w:r>
              <w:rPr>
                <w:b/>
                <w:sz w:val="16"/>
              </w:rPr>
              <w:t>Moves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1F3A5F"/>
                <w:sz w:val="16"/>
              </w:rPr>
              <w:t>Q1</w:t>
            </w:r>
          </w:p>
        </w:tc>
        <w:tc>
          <w:tcPr>
            <w:tcW w:type="dxa" w:w="8640"/>
          </w:tcPr>
          <w:p>
            <w:r>
              <w:rPr>
                <w:b w:val="0"/>
                <w:sz w:val="16"/>
              </w:rPr>
              <w:t>Stabilize the administrator (multi-year agreement + evaluation) · publish a draft 6-year CIP · issue the tax-bill explainer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1F3A5F"/>
                <w:sz w:val="16"/>
              </w:rPr>
              <w:t>Q2</w:t>
            </w:r>
          </w:p>
        </w:tc>
        <w:tc>
          <w:tcPr>
            <w:tcW w:type="dxa" w:w="8640"/>
          </w:tcPr>
          <w:p>
            <w:r>
              <w:rPr>
                <w:b w:val="0"/>
                <w:sz w:val="16"/>
              </w:rPr>
              <w:t>Pass the capital reserve ladder (majority votes) · file State Bridge Aid for Christian Hill Rd · commission the water rate study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1F3A5F"/>
                <w:sz w:val="16"/>
              </w:rPr>
              <w:t>Q3</w:t>
            </w:r>
          </w:p>
        </w:tc>
        <w:tc>
          <w:tcPr>
            <w:tcW w:type="dxa" w:w="8640"/>
          </w:tcPr>
          <w:p>
            <w:r>
              <w:rPr>
                <w:b w:val="0"/>
                <w:sz w:val="16"/>
              </w:rPr>
              <w:t>Advance DWSRF water financing · deliver one visible 'small win' (ADA via CDBG + reserve) · adopt 5-member board norms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1F3A5F"/>
                <w:sz w:val="16"/>
              </w:rPr>
              <w:t>Q4</w:t>
            </w:r>
          </w:p>
        </w:tc>
        <w:tc>
          <w:tcPr>
            <w:tcW w:type="dxa" w:w="8640"/>
          </w:tcPr>
          <w:p>
            <w:r>
              <w:rPr>
                <w:b w:val="0"/>
                <w:sz w:val="16"/>
              </w:rPr>
              <w:t>Bring the full CIP + reserve plan to the deliberative session with an info night · report the year's progress publicly</w:t>
            </w:r>
          </w:p>
        </w:tc>
      </w:tr>
    </w:tbl>
    <w:p>
      <w:pPr>
        <w:spacing w:before="120"/>
      </w:pPr>
      <w:r>
        <w:rPr>
          <w:b/>
          <w:i w:val="0"/>
          <w:color w:val="1F3A5F"/>
          <w:sz w:val="19"/>
        </w:rPr>
        <w:t xml:space="preserve">The ask: </w:t>
      </w:r>
      <w:r>
        <w:rPr>
          <w:b w:val="0"/>
          <w:i w:val="0"/>
          <w:sz w:val="19"/>
        </w:rPr>
        <w:t>Endorse one principle — keep the restraint, change the instrument — and direct staff to (1) stabilize the administrator, (2) stand up the reserve ladder and a published CIP, and (3) pursue bridge aid and DWSRF for the big items. No new bonds. No tax spike.</w:t>
      </w:r>
    </w:p>
    <w:p>
      <w:r>
        <w:rPr>
          <w:b w:val="0"/>
          <w:i/>
          <w:color w:val="5F5E5A"/>
          <w:sz w:val="14"/>
        </w:rPr>
        <w:t>Real figures from the Town of Swanzey's own annual reports (2011–2025), NH DRA, and local news; capital figures and forecasts are planning estimates. Companion: full Strategic Review (v0.1), financial model, and capital plan.</w:t>
      </w:r>
    </w:p>
    <w:sectPr w:rsidR="00FC693F" w:rsidRPr="0006063C" w:rsidSect="00034616">
      <w:pgSz w:w="12240" w:h="15840"/>
      <w:pgMar w:top="792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