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  <w:jc w:val="center"/>
      </w:pPr>
      <w:r>
        <w:rPr>
          <w:b/>
          <w:i w:val="0"/>
          <w:color w:val="1F3A5F"/>
          <w:sz w:val="56"/>
        </w:rPr>
        <w:t>Swanzey Operating Plan</w:t>
      </w:r>
    </w:p>
    <w:p>
      <w:pPr>
        <w:spacing w:after="320"/>
        <w:jc w:val="center"/>
      </w:pPr>
      <w:r>
        <w:rPr>
          <w:b w:val="0"/>
          <w:i w:val="0"/>
          <w:color w:val="5F5E5A"/>
          <w:sz w:val="26"/>
        </w:rPr>
        <w:t>Budget · Forecast · Capital — a consolidated operating reference</w:t>
      </w:r>
    </w:p>
    <w:p/>
    <w:p/>
    <w:p>
      <w:pPr>
        <w:spacing w:after="40"/>
        <w:jc w:val="center"/>
      </w:pPr>
      <w:r>
        <w:rPr>
          <w:b w:val="0"/>
          <w:i w:val="0"/>
          <w:color w:val="5F5E5A"/>
          <w:sz w:val="20"/>
        </w:rPr>
        <w:t>PRIVATE working document · v0.2 (auto-built from the workbooks) · June 2026</w:t>
      </w:r>
    </w:p>
    <w:p>
      <w:pPr>
        <w:spacing w:after="40"/>
        <w:jc w:val="center"/>
      </w:pPr>
      <w:r>
        <w:rPr>
          <w:b w:val="0"/>
          <w:i w:val="0"/>
          <w:color w:val="5F5E5A"/>
          <w:sz w:val="20"/>
        </w:rPr>
        <w:t>Capital tables &amp; charts generated live from the Capital Workbook; forecast from the Financial Model</w:t>
      </w:r>
    </w:p>
    <w:p>
      <w:pPr>
        <w:spacing w:after="40"/>
        <w:jc w:val="center"/>
      </w:pPr>
      <w:r>
        <w:rPr>
          <w:b w:val="0"/>
          <w:i w:val="0"/>
          <w:color w:val="5F5E5A"/>
          <w:sz w:val="20"/>
        </w:rPr>
        <w:t>Edit the workbook input cells, re-run build, and this plan refreshes</w:t>
      </w:r>
    </w:p>
    <w:p>
      <w:r>
        <w:br w:type="page"/>
      </w:r>
    </w:p>
    <w:p>
      <w:pPr>
        <w:spacing w:after="80"/>
      </w:pPr>
      <w:r>
        <w:rPr>
          <w:b/>
          <w:i w:val="0"/>
          <w:color w:val="1F3A5F"/>
          <w:sz w:val="30"/>
        </w:rPr>
        <w:t>0.  Purpose</w:t>
      </w:r>
    </w:p>
    <w:p>
      <w:pPr>
        <w:spacing w:after="120"/>
        <w:jc w:val="both"/>
      </w:pPr>
      <w:r>
        <w:rPr>
          <w:b w:val="0"/>
          <w:i w:val="0"/>
          <w:sz w:val="21"/>
        </w:rPr>
        <w:t>One reference holding the Town's budget, a forecast, and the capital plan together — and it is now auto-built from the workbooks: the capital tables, the funding chart, the tax-glide chart, and the forecast are generated from the Capital Workbook and Financial Model. Edit the input cells, re-run the build, and this document refreshes. Every figure traces to the Town's own reports; capital figures and forecasts are clearly-labeled planning estimates.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>
              <w:rPr>
                <w:color w:val="1F3A5F"/>
                <w:sz w:val="20"/>
              </w:rPr>
              <w:t>Operating thesis: the Town will SAVE but won't BORROW. Fund the backlog with majority-vote reserves + state aid + the water revolving fund — not bonds — and the projects that keep stalling get built without a tax spike or a 3/5 vote.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80"/>
      </w:pPr>
      <w:r>
        <w:rPr>
          <w:b/>
          <w:i w:val="0"/>
          <w:color w:val="1F3A5F"/>
          <w:sz w:val="30"/>
        </w:rPr>
        <w:t>PART I — BUDGET</w:t>
      </w:r>
    </w:p>
    <w:p>
      <w:pPr>
        <w:spacing w:after="40"/>
      </w:pPr>
      <w:r>
        <w:rPr>
          <w:b/>
          <w:i w:val="0"/>
          <w:color w:val="1F3A5F"/>
          <w:sz w:val="24"/>
        </w:rPr>
        <w:t>1.  The 15-year record</w:t>
      </w:r>
    </w:p>
    <w:p>
      <w:pPr>
        <w:spacing w:after="120"/>
        <w:jc w:val="both"/>
      </w:pPr>
      <w:r>
        <w:rPr>
          <w:b w:val="0"/>
          <w:i w:val="0"/>
          <w:sz w:val="21"/>
        </w:rPr>
        <w:t>Operating budgets have risen ~55% since 2012 to roughly $8.94M (2026), with a flat early-2010s (~+1%/yr) giving way to a +6–7%/yr climb since 2020.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68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udget-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68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F5E5A"/>
          <w:sz w:val="15"/>
        </w:rPr>
        <w:t>Operating budget by town-meeting year, 2012–2026, with the forecast band (Part II).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Meeting year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Operating (proposed)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Budget % YES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2012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$5,747,885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$5,705,757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2016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$6,262,426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$6,067,144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68%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$6,303,000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$6,072,735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$7,425,000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$7,468,834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62%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$8,370,000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$7,935,699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57%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$8,939,036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$8,891,785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passed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i w:val="0"/>
          <w:color w:val="1F3A5F"/>
          <w:sz w:val="24"/>
        </w:rPr>
        <w:t>2.  How the budget works (and why the 'no' lever is gone)</w:t>
      </w:r>
    </w:p>
    <w:p>
      <w:pPr>
        <w:pStyle w:val="ListBullet"/>
        <w:spacing w:after="60"/>
      </w:pPr>
      <w:r>
        <w:rPr>
          <w:b/>
          <w:i w:val="0"/>
          <w:sz w:val="20"/>
        </w:rPr>
        <w:t xml:space="preserve">Governing law — RSA 32. </w:t>
      </w:r>
      <w:r>
        <w:rPr>
          <w:b w:val="0"/>
          <w:i w:val="0"/>
          <w:sz w:val="20"/>
        </w:rPr>
        <w:t>Appropriation by purpose; no over-expenditure (32:8); transfers within the total (32:10); lapse (32:7); emergency over-spend needs DRA approval (32:11).</w:t>
      </w:r>
    </w:p>
    <w:p>
      <w:pPr>
        <w:pStyle w:val="ListBullet"/>
        <w:spacing w:after="60"/>
      </w:pPr>
      <w:r>
        <w:rPr>
          <w:b/>
          <w:i w:val="0"/>
          <w:sz w:val="20"/>
        </w:rPr>
        <w:t xml:space="preserve">Forms. </w:t>
      </w:r>
      <w:r>
        <w:rPr>
          <w:b w:val="0"/>
          <w:i w:val="0"/>
          <w:sz w:val="20"/>
        </w:rPr>
        <w:t>MS-636 / MS-737; MS-232 'Appropriations as Voted' filed within 20 days.</w:t>
      </w:r>
    </w:p>
    <w:p>
      <w:pPr>
        <w:pStyle w:val="ListBullet"/>
        <w:spacing w:after="60"/>
      </w:pPr>
      <w:r>
        <w:rPr>
          <w:b/>
          <w:i w:val="0"/>
          <w:sz w:val="20"/>
        </w:rPr>
        <w:t xml:space="preserve">SB2 default — RSA 40:13, IX. </w:t>
      </w:r>
      <w:r>
        <w:rPr>
          <w:b w:val="0"/>
          <w:i w:val="0"/>
          <w:sz w:val="20"/>
        </w:rPr>
        <w:t>If the operating article fails, the default takes effect. In Swanzey it now sits within ~$47K of the proposal — and exceeded it in 2017, 2018, and 2023. 'Vote no to save' no longer works.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7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fault-gap-collap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7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F5E5A"/>
          <w:sz w:val="15"/>
        </w:rPr>
        <w:t>Proposed minus default budget by meeting year — repeatedly near zero or negative.</w:t>
      </w:r>
    </w:p>
    <w:p>
      <w:pPr>
        <w:spacing w:after="40"/>
      </w:pPr>
      <w:r>
        <w:rPr>
          <w:b/>
          <w:i w:val="0"/>
          <w:color w:val="1F3A5F"/>
          <w:sz w:val="24"/>
        </w:rPr>
        <w:t>3.  Cost drivers</w:t>
      </w:r>
    </w:p>
    <w:p>
      <w:pPr>
        <w:spacing w:after="120"/>
        <w:jc w:val="both"/>
      </w:pPr>
      <w:r>
        <w:rPr>
          <w:b w:val="0"/>
          <w:i w:val="0"/>
          <w:sz w:val="21"/>
        </w:rPr>
        <w:t>Structural, not programmatic: health insurance, wages, the NH Retirement System (RSA 100-A) employer rate, and the ambulance/EMS contract — largely non-discretionary.</w:t>
      </w:r>
    </w:p>
    <w:p>
      <w:pPr>
        <w:spacing w:after="40"/>
      </w:pPr>
      <w:r>
        <w:rPr>
          <w:b/>
          <w:i w:val="0"/>
          <w:color w:val="1F3A5F"/>
          <w:sz w:val="24"/>
        </w:rPr>
        <w:t>4.  Tax rate &amp; the 2024 revaluation</w:t>
      </w:r>
    </w:p>
    <w:p>
      <w:pPr>
        <w:spacing w:after="120"/>
        <w:jc w:val="both"/>
      </w:pPr>
      <w:r>
        <w:rPr>
          <w:b w:val="0"/>
          <w:i w:val="0"/>
          <w:sz w:val="21"/>
        </w:rPr>
        <w:t>Total rate: $24.51 (2021) → $26.87 (2023) → $19.06 (2024) → $20.18 (2025). The 2024 drop was a revaluation, not a tax cut. Education is ~60% of the bill; the municipal share is ~a quarter.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396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ax-rate-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39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F5E5A"/>
          <w:sz w:val="15"/>
        </w:rPr>
        <w:t>Total tax rate by component, 2021–2025.</w:t>
      </w:r>
    </w:p>
    <w:p>
      <w:r>
        <w:br w:type="page"/>
      </w:r>
    </w:p>
    <w:p>
      <w:pPr>
        <w:spacing w:after="80"/>
      </w:pPr>
      <w:r>
        <w:rPr>
          <w:b/>
          <w:i w:val="0"/>
          <w:color w:val="1F3A5F"/>
          <w:sz w:val="30"/>
        </w:rPr>
        <w:t>PART II — FORECAST</w:t>
      </w:r>
    </w:p>
    <w:p>
      <w:pPr>
        <w:spacing w:after="120"/>
        <w:jc w:val="both"/>
      </w:pPr>
      <w:r>
        <w:rPr>
          <w:b w:val="0"/>
          <w:i w:val="0"/>
          <w:sz w:val="21"/>
        </w:rPr>
        <w:t>Auto-built from the Financial Model (base $8,939,036; low/base/high growth). Scenarios, not predictions.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Fiscal year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Low (4.5%)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Base (6.0%)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High (7.5%)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2026 (actual)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$8.94M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$8.94M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$8.94M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2027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$9.34M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$9.48M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$9.61M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2028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$9.76M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$10.04M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$10.33M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2029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$10.20M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$10.65M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$11.10M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2030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$10.66M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$11.29M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$11.94M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2031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$11.14M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$11.96M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$12.83M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b w:val="0"/>
          <w:i w:val="0"/>
          <w:sz w:val="21"/>
        </w:rPr>
        <w:t>Base case reaches $11.96M by 2031 — purely on the cost escalators.</w:t>
      </w:r>
    </w:p>
    <w:p>
      <w:pPr>
        <w:spacing w:after="40"/>
      </w:pPr>
      <w:r>
        <w:rPr>
          <w:b/>
          <w:i w:val="0"/>
          <w:color w:val="1F3A5F"/>
          <w:sz w:val="24"/>
        </w:rPr>
        <w:t>Budget-approval risk &amp; fund balance</w:t>
      </w:r>
    </w:p>
    <w:p>
      <w:pPr>
        <w:spacing w:after="120"/>
        <w:jc w:val="both"/>
      </w:pPr>
      <w:r>
        <w:rPr>
          <w:b w:val="0"/>
          <w:i w:val="0"/>
          <w:sz w:val="21"/>
        </w:rPr>
        <w:t>Operating-budget support slid from ~80% (2011–15) to 57% (2025); a budget failure is plausible within a few cycles, though muted because the default ≈ the proposal.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529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dget-support-ero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5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F5E5A"/>
          <w:sz w:val="15"/>
        </w:rPr>
        <w:t>Operating-budget support, 2011–2025, with trend.</w:t>
      </w:r>
    </w:p>
    <w:p>
      <w:pPr>
        <w:spacing w:after="120"/>
        <w:jc w:val="both"/>
      </w:pPr>
      <w:r>
        <w:rPr>
          <w:b/>
          <w:i w:val="0"/>
          <w:sz w:val="20"/>
        </w:rPr>
        <w:t xml:space="preserve">Fund-balance guidance. </w:t>
      </w:r>
      <w:r>
        <w:rPr>
          <w:b w:val="0"/>
          <w:i w:val="0"/>
          <w:sz w:val="20"/>
        </w:rPr>
        <w:t>Hold unassigned fund balance in DRA's prudent band (≈5–17% of the operating budget); treat any amount applied to reduce taxes as multi-year smoothing.</w:t>
      </w:r>
    </w:p>
    <w:p>
      <w:r>
        <w:br w:type="page"/>
      </w:r>
    </w:p>
    <w:p>
      <w:pPr>
        <w:spacing w:after="80"/>
      </w:pPr>
      <w:r>
        <w:rPr>
          <w:b/>
          <w:i w:val="0"/>
          <w:color w:val="1F3A5F"/>
          <w:sz w:val="30"/>
        </w:rPr>
        <w:t>PART III — CAPITAL PLAN</w:t>
      </w:r>
    </w:p>
    <w:p>
      <w:pPr>
        <w:spacing w:after="40"/>
      </w:pPr>
      <w:r>
        <w:rPr>
          <w:b/>
          <w:i w:val="0"/>
          <w:color w:val="1F3A5F"/>
          <w:sz w:val="24"/>
        </w:rPr>
        <w:t>5.  The backlog and the 3/5 problem</w:t>
      </w:r>
    </w:p>
    <w:p>
      <w:pPr>
        <w:spacing w:after="120"/>
        <w:jc w:val="both"/>
      </w:pPr>
      <w:r>
        <w:rPr>
          <w:b w:val="0"/>
          <w:i w:val="0"/>
          <w:sz w:val="21"/>
        </w:rPr>
        <w:t>About $5.28M of identified needs. The public-works facility won majorities in 2024 and 2026 but failed the 3/5 a bond requires; reserves and credits pass 78–90%.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680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erves-vs-bon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68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F5E5A"/>
          <w:sz w:val="15"/>
        </w:rPr>
        <w:t>What passes easily versus what dies at the 3/5 wall.</w:t>
      </w:r>
    </w:p>
    <w:p>
      <w:pPr>
        <w:spacing w:after="40"/>
      </w:pPr>
      <w:r>
        <w:rPr>
          <w:b/>
          <w:i w:val="0"/>
          <w:color w:val="1F3A5F"/>
          <w:sz w:val="24"/>
        </w:rPr>
        <w:t>6.  The funding strategy — other people's money</w:t>
      </w:r>
    </w:p>
    <w:p>
      <w:pPr>
        <w:spacing w:after="120"/>
        <w:jc w:val="both"/>
      </w:pPr>
      <w:r>
        <w:rPr>
          <w:b w:val="0"/>
          <w:i w:val="0"/>
          <w:sz w:val="21"/>
        </w:rPr>
        <w:t>About 62% of the backlog is non-property-tax money (state bridge aid, DWSRF water rates, grants), leaving $2.00M local — saved via majority-vote reserves, with $0 new bonds.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989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apital-funding-sta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8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F5E5A"/>
          <w:sz w:val="15"/>
        </w:rPr>
        <w:t>Funding stack by project (generated from the Capital Workbook).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Project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Local share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Primary funding path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Public Works Facility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$1.20M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$1.20M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RSA 35 capital reserve (pay-go by ~2031)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Christian Hill Road Bridge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$1.00M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$0.20M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RSA 234 state bridge aid (80%) + bridge reserve (20%)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Lower Winchester Street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$0.75M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$0.48M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Highway block grant + roads reserve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West Swanzey Water System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$2.08M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$0.00M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NHDES DWSRF (repaid by water rates) + grants/forgiveness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Town Hall ADA Stairwell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$0.25M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$0.12M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CDBG/accessibility grant + facilities reserve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$5.28M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$2.00M (38%)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$0 new bonds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i w:val="0"/>
          <w:color w:val="1F3A5F"/>
          <w:sz w:val="24"/>
        </w:rPr>
        <w:t>7.  The reserve ladder &amp; the tax glide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Capital Reserve Fund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Annual deposit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Funds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Vote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Public Works Facility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$200,000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the facility (pay-go by ~2031)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majority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Bridges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$50,000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Christian Hill 20% share (state pays 80%)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majority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Highway Reconstruction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$100,000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Lower Winchester St &amp; roads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majority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Highway Equipment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$90,000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plow/fleet replacement cycle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majority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Fire Apparatus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$70,000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engine/tanker cycle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majority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Town Facilities (incl. ADA)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$40,000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Town Hall ADA, building renewal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majority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Technology &amp; Records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$20,000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GIS, cyber, RSA 33-A retention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majority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798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apital-tax-gli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79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color w:val="5F5E5A"/>
          <w:sz w:val="15"/>
        </w:rPr>
        <w:t>Net-new tax impact on a $300K home: peaks ≈ $74, then below today once built.</w:t>
      </w:r>
    </w:p>
    <w:p>
      <w:pPr>
        <w:spacing w:after="40"/>
      </w:pPr>
      <w:r>
        <w:rPr>
          <w:b/>
          <w:i w:val="0"/>
          <w:color w:val="1F3A5F"/>
          <w:sz w:val="24"/>
        </w:rPr>
        <w:t>8.  Decision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If the project is…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Use…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Because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≤ ~$250K, recurring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 capital reserve (pay-go)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simple majority, no interest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 town bridge (≥10 ft)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RSA 234 aid + reserve for 20%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state pays 80%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water/sewer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DWSRF, repaid by rates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off the property tax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large, urgent, unavoidable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Bond Bank (RSA 33) — last resort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only when reserves can't get there in time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anything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listed in the published CIP first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surprise becomes expectation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80"/>
      </w:pPr>
      <w:r>
        <w:rPr>
          <w:b/>
          <w:i w:val="0"/>
          <w:color w:val="1F3A5F"/>
          <w:sz w:val="30"/>
        </w:rPr>
        <w:t>PART IV — OPERATING PLAYBOOK</w:t>
      </w:r>
    </w:p>
    <w:p>
      <w:pPr>
        <w:spacing w:after="40"/>
      </w:pPr>
      <w:r>
        <w:rPr>
          <w:b/>
          <w:i w:val="0"/>
          <w:color w:val="1F3A5F"/>
          <w:sz w:val="24"/>
        </w:rPr>
        <w:t>9.  The first twelve months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Quarter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Moves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Q1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Stabilize the administrator's office (multi-year agreement + written evaluation). Publish a draft six-year CIP. Issue the one-page tax-bill explainer.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Q2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Warrant &amp; pass the capital reserve ladder (majority votes). File State Bridge Aid for Christian Hill Rd. Commission the water rate study.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Q3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Advance DWSRF water financing. Deliver one visible small win (ADA via CDBG + reserve). Adopt operating norms for the five-member board.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Q4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Bring the full CIP + reserve plan to the deliberative session with an information night. Report the year's progress publicly.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i w:val="0"/>
          <w:color w:val="1F3A5F"/>
          <w:sz w:val="24"/>
        </w:rPr>
        <w:t>10.  The annual municipal cycle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When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What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By Sept 1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File MS-1 (valuation), MS-434 (revenues), MS-535 (financial report)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Oct–Dec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Build budget &amp; default; CIP update; budget public hearing; post warrant (RSA 31:95)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~1st Tue Feb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SB2 deliberative session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~2nd Tue Mar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SB2 ballot: budget, articles, officers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Meeting +20 days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File MS-232 'Appropriations as Voted'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Fall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DRA sets the tax rate; issue tax bills</w:t>
            </w:r>
          </w:p>
        </w:tc>
      </w:tr>
    </w:tbl>
    <w:p>
      <w:pPr>
        <w:spacing w:after="120"/>
      </w:pPr>
    </w:p>
    <w:p>
      <w:pPr>
        <w:spacing w:after="40"/>
      </w:pPr>
      <w:r>
        <w:rPr>
          <w:b/>
          <w:i w:val="0"/>
          <w:color w:val="1F3A5F"/>
          <w:sz w:val="24"/>
        </w:rPr>
        <w:t>11.  Dashboard — numbers to watch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Now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Capital backlog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$5.28M (62% non-tax; $2.00M local)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Peak reserve tax impact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≈ $74/yr on a $300K home, then below today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Operating budget / support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~$8.94M (2026); support 57% — arrest the slide with transparency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Unassigned fund balance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keep ~5–17% of operating budget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Total tax rate / valuation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$20.18 (2025); valuation input = $978.6M (REFRESH with real MS-1)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Next statutory deadline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always know it (MS-1 / MS-232 / hearing / warrant)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i w:val="0"/>
          <w:color w:val="1F3A5F"/>
          <w:sz w:val="30"/>
        </w:rPr>
        <w:t>Appendix — Provenance &amp; sync</w:t>
      </w:r>
    </w:p>
    <w:p>
      <w:pPr>
        <w:spacing w:after="120"/>
        <w:jc w:val="both"/>
      </w:pPr>
      <w:r>
        <w:rPr>
          <w:b w:val="0"/>
          <w:i w:val="0"/>
          <w:sz w:val="21"/>
        </w:rPr>
        <w:t>Auto-built from: the Capital Workbook (Assumptions, Projects, Reserve Ladder, 10-Year Plan) and the Financial Model (Forecast). To refresh: edit the input cells in those workbooks, then run build_from_workbook.py + render_opplan.py. Real figures from the Town's annual reports (2011–2025), NH DRA, and local news; capital figures and forecasts are planning estimates. Key statutes: RSA 32, 40:13, 35, 33/35-A, 234, 38, 162-K, 674:5-8, 91-A, 33-A, 165, 273-A, 100-A.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