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b/>
          <w:i w:val="0"/>
          <w:color w:val="1F3A5F"/>
          <w:sz w:val="56"/>
        </w:rPr>
        <w:t>Swanzey Operating Plan</w:t>
      </w:r>
    </w:p>
    <w:p>
      <w:pPr>
        <w:spacing w:after="320"/>
        <w:jc w:val="center"/>
      </w:pPr>
      <w:r>
        <w:rPr>
          <w:b w:val="0"/>
          <w:i w:val="0"/>
          <w:color w:val="5F5E5A"/>
          <w:sz w:val="26"/>
        </w:rPr>
        <w:t>Budget · Forecast · Capital — a consolidated operating reference</w:t>
      </w:r>
    </w:p>
    <w:p/>
    <w:p/>
    <w:p/>
    <w:p>
      <w:pPr>
        <w:spacing w:after="40"/>
        <w:jc w:val="center"/>
      </w:pPr>
      <w:r>
        <w:rPr>
          <w:b w:val="0"/>
          <w:i w:val="0"/>
          <w:color w:val="5F5E5A"/>
          <w:sz w:val="20"/>
        </w:rPr>
        <w:t>PRIVATE working document · v0.1 · June 2026</w:t>
      </w:r>
    </w:p>
    <w:p>
      <w:pPr>
        <w:spacing w:after="40"/>
        <w:jc w:val="center"/>
      </w:pPr>
      <w:r>
        <w:rPr>
          <w:b w:val="0"/>
          <w:i w:val="0"/>
          <w:color w:val="5F5E5A"/>
          <w:sz w:val="20"/>
        </w:rPr>
        <w:t>Built on the Town's own annual reports (2011–2025), NH DRA, and local news</w:t>
      </w:r>
    </w:p>
    <w:p>
      <w:pPr>
        <w:spacing w:after="40"/>
        <w:jc w:val="center"/>
      </w:pPr>
      <w:r>
        <w:rPr>
          <w:b w:val="0"/>
          <w:i w:val="0"/>
          <w:color w:val="5F5E5A"/>
          <w:sz w:val="20"/>
        </w:rPr>
        <w:t>Convert to the live operating plan on hire — figures keyed to town-meeting year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0.  Purpose</w:t>
      </w:r>
    </w:p>
    <w:p>
      <w:pPr>
        <w:spacing w:after="120"/>
        <w:jc w:val="both"/>
      </w:pPr>
      <w:r>
        <w:rPr>
          <w:b w:val="0"/>
          <w:i w:val="0"/>
          <w:sz w:val="21"/>
        </w:rPr>
        <w:t>One reference that holds the Town's budget, a forecast, and the capital plan together. It is written to be operational: on hire, the forecast cells become the working model, the reserve ladder becomes warrant articles, and the 12-month plan becomes the calendar. Every figure traces to the Town's own annual reports; capital figures and forecasts are clearly-labeled planning estimates.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color w:val="1F3A5F"/>
                <w:sz w:val="20"/>
              </w:rPr>
              <w:t>Operating thesis: the Town will SAVE but won't BORROW. Fund the backlog with majority-vote reserves + state aid + the water revolving fund — not bonds — and the projects that keep stalling get built without a tax spike or a 3/5 vote.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PART I — BUDGET</w:t>
      </w:r>
    </w:p>
    <w:p>
      <w:pPr>
        <w:spacing w:after="40"/>
      </w:pPr>
      <w:r>
        <w:rPr>
          <w:b/>
          <w:i w:val="0"/>
          <w:color w:val="1F3A5F"/>
          <w:sz w:val="24"/>
        </w:rPr>
        <w:t>1.  The 15-year record</w:t>
      </w:r>
    </w:p>
    <w:p>
      <w:pPr>
        <w:spacing w:after="120"/>
        <w:jc w:val="both"/>
      </w:pPr>
      <w:r>
        <w:rPr>
          <w:b w:val="0"/>
          <w:i w:val="0"/>
          <w:sz w:val="21"/>
        </w:rPr>
        <w:t>Operating budgets have risen ~55% since 2012 to roughly $8.94M (2026), with a flat early-2010s (~+1%/yr) giving way to a +6–7%/yr climb since 2020.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68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dget-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Operating budget by town-meeting year, 2012–2026, with the forecast band (Part II).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Meeting year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Operating (proposed)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Budget % YES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2012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$5,747,885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$5,705,757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$6,262,426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$6,067,144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68%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$6,303,000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$6,072,735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$7,425,000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$7,468,834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62%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$8,370,000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$7,935,699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57%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$8,939,036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$8,891,785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3A5F"/>
          <w:sz w:val="24"/>
        </w:rPr>
        <w:t>2.  How the budget works (and why the 'no' lever is gone)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Governing law — RSA 32. </w:t>
      </w:r>
      <w:r>
        <w:rPr>
          <w:b w:val="0"/>
          <w:i w:val="0"/>
          <w:sz w:val="20"/>
        </w:rPr>
        <w:t>Appropriation by purpose; no over-expenditure (32:8); transfers within the total (32:10); lapse at year-end (32:7); emergency over-spend needs DRA approval (32:11).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Forms. </w:t>
      </w:r>
      <w:r>
        <w:rPr>
          <w:b w:val="0"/>
          <w:i w:val="0"/>
          <w:sz w:val="20"/>
        </w:rPr>
        <w:t>MS-636 (proposed) or MS-737 (budget-committee towns, filed within 20 days of the meeting); MS-232 'Appropriations as Voted' filed within 20 days.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SB2 default budget — RSA 40:13, IX. </w:t>
      </w:r>
      <w:r>
        <w:rPr>
          <w:b w:val="0"/>
          <w:i w:val="0"/>
          <w:sz w:val="20"/>
        </w:rPr>
        <w:t>If the operating article fails, the default budget takes effect. In Swanzey the default now sits within ~$47K of the proposal — and exceeded it in 2017, 2018, and 2023. 'Vote no to save' no longer works.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7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fault-gap-collap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Proposed minus default budget by meeting year — repeatedly near zero or negative.</w:t>
      </w:r>
    </w:p>
    <w:p>
      <w:pPr>
        <w:spacing w:after="40"/>
      </w:pPr>
      <w:r>
        <w:rPr>
          <w:b/>
          <w:i w:val="0"/>
          <w:color w:val="1F3A5F"/>
          <w:sz w:val="24"/>
        </w:rPr>
        <w:t>3.  Cost drivers</w:t>
      </w:r>
    </w:p>
    <w:p>
      <w:pPr>
        <w:spacing w:after="120"/>
        <w:jc w:val="both"/>
      </w:pPr>
      <w:r>
        <w:rPr>
          <w:b w:val="0"/>
          <w:i w:val="0"/>
          <w:sz w:val="21"/>
        </w:rPr>
        <w:t>The climb is structural, not programmatic: health insurance, wages, the NH Retirement System (RSA 100-A) employer rate, and the ambulance/EMS contract. These are largely non-discretionary, so honesty about them — and relentless capture of outside money — is the only durable lever on the municipal share.</w:t>
      </w:r>
    </w:p>
    <w:p>
      <w:pPr>
        <w:spacing w:after="40"/>
      </w:pPr>
      <w:r>
        <w:rPr>
          <w:b/>
          <w:i w:val="0"/>
          <w:color w:val="1F3A5F"/>
          <w:sz w:val="24"/>
        </w:rPr>
        <w:t>4.  Tax rate &amp; the 2024 revaluation</w:t>
      </w:r>
    </w:p>
    <w:p>
      <w:pPr>
        <w:spacing w:after="120"/>
        <w:jc w:val="both"/>
      </w:pPr>
      <w:r>
        <w:rPr>
          <w:b w:val="0"/>
          <w:i w:val="0"/>
          <w:sz w:val="21"/>
        </w:rPr>
        <w:t>Total rate moved $24.51 (2021) → $26.87 (2023) → $19.06 (2024) → $20.18 (2025). The 2024 drop was a revaluation (assessed values rose), not a tax cut. Education is ~60% of the bill; the municipal share the Board controls is ~a quarter.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39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x-rate-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9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Total tax rate by component, 2021–2025. The 2024 step-down is the revaluation.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PART II — FORECAST</w:t>
      </w:r>
    </w:p>
    <w:p>
      <w:pPr>
        <w:spacing w:after="120"/>
        <w:jc w:val="both"/>
      </w:pPr>
      <w:r>
        <w:rPr>
          <w:b w:val="0"/>
          <w:i w:val="0"/>
          <w:sz w:val="21"/>
        </w:rPr>
        <w:t>Modeled. Compounds the 2026 adopted budget ($8,939,036) at the observed recent band (low 4.5% / base 6.0% / high 7.5%; recent CAGR ≈ 6.7%). Scenarios, not predictions.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Fiscal year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Low (4.5%)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Base (6.0%)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High (7.5%)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2026 (actual)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$8.94M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$8.94M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$8.94M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$9.34M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$9.48M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$9.61M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$9.76M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$10.04M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$10.33M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$10.20M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$10.65M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$11.10M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$10.66M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$11.29M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$11.94M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$11.14M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$11.96M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$12.83M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 w:val="0"/>
          <w:i w:val="0"/>
          <w:sz w:val="21"/>
        </w:rPr>
        <w:t>Base case crosses $10M around 2028 and approaches $12M by 2031 — with no new services, purely on the cost escalators.</w:t>
      </w:r>
    </w:p>
    <w:p>
      <w:pPr>
        <w:spacing w:after="40"/>
      </w:pPr>
      <w:r>
        <w:rPr>
          <w:b/>
          <w:i w:val="0"/>
          <w:color w:val="1F3A5F"/>
          <w:sz w:val="24"/>
        </w:rPr>
        <w:t>Budget-approval risk</w:t>
      </w:r>
    </w:p>
    <w:p>
      <w:pPr>
        <w:spacing w:after="120"/>
        <w:jc w:val="both"/>
      </w:pPr>
      <w:r>
        <w:rPr>
          <w:b w:val="0"/>
          <w:i w:val="0"/>
          <w:sz w:val="21"/>
        </w:rPr>
        <w:t>Operating-budget support has slid from ~80% (2011–15) to 57% (2025). On trend a budget failure becomes plausible within a few cycles — though, because the default ≈ the proposal, the fiscal consequence is now muted; the real contest moves to special/capital articles.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529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dget-support-ero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5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Operating-budget support, 2011–2025, with trend.</w:t>
      </w:r>
    </w:p>
    <w:p>
      <w:pPr>
        <w:spacing w:after="120"/>
        <w:jc w:val="both"/>
      </w:pPr>
      <w:r>
        <w:rPr>
          <w:b/>
          <w:i w:val="0"/>
          <w:sz w:val="20"/>
        </w:rPr>
        <w:t xml:space="preserve">Fund-balance guidance. </w:t>
      </w:r>
      <w:r>
        <w:rPr>
          <w:b w:val="0"/>
          <w:i w:val="0"/>
          <w:sz w:val="20"/>
        </w:rPr>
        <w:t>Hold unassigned fund balance in DRA's prudent band (≈ 5–17% of the operating budget). Treat any amount 'applied to reduce taxes' as multi-year smoothing, not a one-year cut — over-applying lowers next year's base and spikes the rate.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PART III — CAPITAL PLAN</w:t>
      </w:r>
    </w:p>
    <w:p>
      <w:pPr>
        <w:spacing w:after="40"/>
      </w:pPr>
      <w:r>
        <w:rPr>
          <w:b/>
          <w:i w:val="0"/>
          <w:color w:val="1F3A5F"/>
          <w:sz w:val="24"/>
        </w:rPr>
        <w:t>5.  The backlog and the 3/5 problem</w:t>
      </w:r>
    </w:p>
    <w:p>
      <w:pPr>
        <w:spacing w:after="120"/>
        <w:jc w:val="both"/>
      </w:pPr>
      <w:r>
        <w:rPr>
          <w:b w:val="0"/>
          <w:i w:val="0"/>
          <w:sz w:val="21"/>
        </w:rPr>
        <w:t>About $5.3M of identified needs: the public-works facility, the Christian Hill Road bridge, Lower Winchester Street, the West Swanzey water system, and Town Hall accessibility. The facility won majorities in 2024 and 2026 but failed the 3/5 a bond requires. Reserves and credits, by contrast, pass 78–90%.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680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erves-vs-bo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What passes easily versus what dies at the 3/5 wall.</w:t>
      </w:r>
    </w:p>
    <w:p>
      <w:pPr>
        <w:spacing w:after="40"/>
      </w:pPr>
      <w:r>
        <w:rPr>
          <w:b/>
          <w:i w:val="0"/>
          <w:color w:val="1F3A5F"/>
          <w:sz w:val="24"/>
        </w:rPr>
        <w:t>6.  The funding strategy — 62% other people's money</w:t>
      </w:r>
    </w:p>
    <w:p>
      <w:pPr>
        <w:spacing w:after="120"/>
        <w:jc w:val="both"/>
      </w:pPr>
      <w:r>
        <w:rPr>
          <w:b w:val="0"/>
          <w:i w:val="0"/>
          <w:sz w:val="21"/>
        </w:rPr>
        <w:t>Stack outside funding first: 80% state bridge aid (RSA 234) for the bridge; the DWSRF (repaid by water rates, plus principal forgiveness) for water; block grant and CDBG for the street and ADA work. About 62% of the backlog is non-property-tax money, leaving ~$2.0M local — saved via majority-vote reserves, with $0 new bonds.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8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pital-funding-s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Funding stack by project: most cost carried by aid, water rates, and grants.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Local share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Primary funding path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Public Works Facility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$1.20M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$1.20M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RSA 35 reserve (pay-go ~2031)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Christian Hill Rd Bridge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$1.00M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$0.20M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RSA 234 aid 80% + bridge reserve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Lower Winchester 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$0.75M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$0.48M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Highway block grant + roads reserve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West Swanzey Water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$2.075M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~$0 (tax)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DWSRF, repaid by water rates + grants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Town Hall ADA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$0.25M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$0.125M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CDBG + facilities reserve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$5.275M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$2.005M (38%)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 new bonds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3A5F"/>
          <w:sz w:val="24"/>
        </w:rPr>
        <w:t>7.  The reserve ladder &amp; the tax glide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Capital Reserve Fund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Annual deposit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Funds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Vote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Public Works Facility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$150–300K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the facility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Bridges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$50K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Christian Hill 20%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Highway Reconstruction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Lower Winchester St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Highway Equipment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fleet cycle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Fire Apparatus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$70K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engine/tanker cycle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Town Facilities (ADA)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$40K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Town Hall, buildings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Technology &amp; Records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$20K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GIS, cyber, retention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79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pital-tax-gl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9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Net-new tax impact on a $300,000 home: peaks ≈ +$75, then below today once built.</w:t>
      </w:r>
    </w:p>
    <w:p>
      <w:pPr>
        <w:spacing w:after="40"/>
      </w:pPr>
      <w:r>
        <w:rPr>
          <w:b/>
          <w:i w:val="0"/>
          <w:color w:val="1F3A5F"/>
          <w:sz w:val="24"/>
        </w:rPr>
        <w:t>8.  Decision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If the project is…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Use…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Because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≤ ~$250K, recurring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 capital reserve (pay-go)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simple majority, no interest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 town bridge (≥10 ft)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RSA 234 aid + reserve for 20%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state pays 80%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water/sewer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DWSRF, repaid by rates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off the property tax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large, urgent, unavoidable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Bond Bank (RSA 33) — last resort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only when reserves can't get there in time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anything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listed in the published CIP first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surprise becomes expectation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 w:val="0"/>
          <w:i w:val="0"/>
          <w:sz w:val="21"/>
        </w:rPr>
        <w:t>DRA-compliant model warrant articles for the reserve ladder and the bridge-aid / DWSRF / CDBG authorizations are ready in the companion capital-forecast folder.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PART IV — OPERATING PLAYBOOK</w:t>
      </w:r>
    </w:p>
    <w:p>
      <w:pPr>
        <w:spacing w:after="40"/>
      </w:pPr>
      <w:r>
        <w:rPr>
          <w:b/>
          <w:i w:val="0"/>
          <w:color w:val="1F3A5F"/>
          <w:sz w:val="24"/>
        </w:rPr>
        <w:t>9.  The first twelve 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Quarter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Moves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Stabilize the administrator's office (multi-year agreement + written evaluation). Publish a draft six-year CIP. Issue the one-page tax-bill explainer.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Warrant &amp; pass the capital reserve ladder (majority votes). File State Bridge Aid for Christian Hill Rd. Commission the water rate study.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Advance DWSRF water financing. Deliver one visible 'small win' (ADA via CDBG + reserve). Adopt operating norms for the five-member board.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Bring the full CIP + reserve plan to the deliberative session with an information night. Report the year's progress publicly.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3A5F"/>
          <w:sz w:val="24"/>
        </w:rPr>
        <w:t>10.  The annual municipal 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What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By Sept 1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File MS-1 (valuation), MS-434 (revenues), MS-535 (financial report)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Oct–Dec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Build budget &amp; default budget; CIP update; budget public hearing; post warrant (RSA 31:95)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~1st Tue Feb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SB2 deliberative session (debate &amp; amend)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~2nd Tue Mar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SB2 ballot: budget, articles, officer elections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Meeting +20 days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File MS-232 'Appropriations as Voted'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Fall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DRA sets the tax rate; issue tax bills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3A5F"/>
          <w:sz w:val="24"/>
        </w:rPr>
        <w:t>11.  Dashboard — the numbers to watch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Watch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Operating budget / YoY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~$8.94M; keep YoY honest about drivers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Budget % YES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57% (2025) — arrest the slide with transparency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Unassigned fund balance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keep within ~5–17% of operating budget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Reserve balances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grow toward project targets (ladder above)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Next statutory deadline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always know it (MS-1 / MS-232 / hearing / warrant)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Tax rate &amp; valuation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total $20.18 (2025); refresh real MS-1 valuation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1F3A5F"/>
          <w:sz w:val="30"/>
        </w:rPr>
        <w:t>Appendix — Provenance &amp; key RSA</w:t>
      </w:r>
    </w:p>
    <w:p>
      <w:pPr>
        <w:spacing w:after="120"/>
        <w:jc w:val="both"/>
      </w:pPr>
      <w:r>
        <w:rPr>
          <w:b w:val="0"/>
          <w:i w:val="0"/>
          <w:sz w:val="21"/>
        </w:rPr>
        <w:t>Real figures from the Town of Swanzey's annual reports (2011–2025), NH DRA, and local news; capital figures and forecasts are clearly-labeled planning estimates, keyed to town-meeting year (verified against as-voted results for 2020/2023/2025). Key statutes: RSA 32 (budget), 40:13 (SB2/default), 35 (reserves), 33/35-A (bonding/Bond Bank), 234 (bridge aid), 38 (utilities), 162-K (TIF), 674:5-8 (CIP), 91-A (right-to-know), 33-A (records), 165 (welfare), 273-A (labor), 100-A (NHRS). Companion files: Financial Review, Capital Workbook (live model), Strategic Review, and the Interview Workbook.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