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="252" w:lineRule="auto"/>
        <w:jc w:val="left"/>
      </w:pPr>
      <w:r>
        <w:rPr>
          <w:rFonts w:ascii="Calibri" w:hAnsi="Calibri"/>
          <w:b/>
          <w:i w:val="0"/>
          <w:color w:val="A9772F"/>
          <w:sz w:val="22"/>
        </w:rPr>
        <w:t>PUBLICLOGIC</w:t>
      </w:r>
    </w:p>
    <w:p>
      <w:pPr>
        <w:spacing w:before="0" w:after="0" w:line="252" w:lineRule="auto"/>
        <w:jc w:val="left"/>
      </w:pPr>
      <w:r>
        <w:rPr>
          <w:rFonts w:ascii="Georgia" w:hAnsi="Georgia"/>
          <w:b/>
          <w:i w:val="0"/>
          <w:color w:val="1A1D20"/>
          <w:sz w:val="46"/>
        </w:rPr>
        <w:t>Move Forward — v1 Business Stack</w:t>
      </w:r>
    </w:p>
    <w:p>
      <w:pPr>
        <w:spacing w:before="20" w:after="120" w:line="252" w:lineRule="auto"/>
        <w:jc w:val="left"/>
      </w:pPr>
      <w:r>
        <w:rPr>
          <w:rFonts w:ascii="Calibri" w:hAnsi="Calibri"/>
          <w:b w:val="0"/>
          <w:i/>
          <w:color w:val="0F4C3A"/>
          <w:sz w:val="20"/>
        </w:rPr>
        <w:t>The front door. What we are, what's in the stack, and the next 90 days.  ·  June 2026  ·  Private &amp; Confidential</w:t>
      </w:r>
    </w:p>
    <w:p>
      <w:pPr>
        <w:spacing w:before="40" w:after="4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THE COMPANY, IN FOUR LINES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2"/>
        </w:rPr>
        <w:t xml:space="preserve">— </w:t>
      </w:r>
      <w:r>
        <w:rPr>
          <w:rFonts w:ascii="Georgia" w:hAnsi="Georgia"/>
          <w:b/>
          <w:i/>
          <w:color w:val="0F4C3A"/>
          <w:sz w:val="22"/>
        </w:rPr>
        <w:t>Every system should make it easier for the next person to do the right thing.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2"/>
        </w:rPr>
        <w:t xml:space="preserve">— </w:t>
      </w:r>
      <w:r>
        <w:rPr>
          <w:rFonts w:ascii="Calibri" w:hAnsi="Calibri"/>
          <w:b w:val="0"/>
          <w:i w:val="0"/>
          <w:color w:val="1A1D20"/>
          <w:sz w:val="22"/>
        </w:rPr>
        <w:t>PublicLogic helps projects move through public systems, and helps organizations keep the capacity to sustain them.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2"/>
        </w:rPr>
        <w:t xml:space="preserve">— </w:t>
      </w:r>
      <w:r>
        <w:rPr>
          <w:rFonts w:ascii="Calibri" w:hAnsi="Calibri"/>
          <w:b/>
          <w:i w:val="0"/>
          <w:color w:val="A9772F"/>
          <w:sz w:val="22"/>
        </w:rPr>
        <w:t>Implementation is the service. Institutional Stewardship is the method.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2"/>
        </w:rPr>
        <w:t xml:space="preserve">— </w:t>
      </w:r>
      <w:r>
        <w:rPr>
          <w:rFonts w:ascii="Calibri" w:hAnsi="Calibri"/>
          <w:b w:val="0"/>
          <w:i w:val="0"/>
          <w:color w:val="1A1D20"/>
          <w:sz w:val="22"/>
        </w:rPr>
        <w:t>Good Work + Stewardship = Work That Lasts.</w:t>
      </w:r>
    </w:p>
    <w:p>
      <w:pPr>
        <w:spacing w:before="160" w:after="4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WHAT BREAKS  (why this is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What breaks</w:t>
            </w:r>
          </w:p>
        </w:tc>
        <w:tc>
          <w:tcPr>
            <w:tcW w:type="dxa" w:w="6768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Turnover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Knowledge leaves with the person.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Unclear ownership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Projects stall — no one holds the next step.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Funding without readiness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Momentum collapses; the window closes.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No continuity system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Work restarts from zero.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Plans without implementation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Reports sit on shelves.</w:t>
            </w:r>
          </w:p>
        </w:tc>
      </w:tr>
    </w:tbl>
    <w:p>
      <w:pPr>
        <w:spacing w:before="60" w:after="120" w:line="252" w:lineRule="auto"/>
        <w:jc w:val="left"/>
      </w:pPr>
      <w:r>
        <w:rPr>
          <w:rFonts w:ascii="Calibri" w:hAnsi="Calibri"/>
          <w:b/>
          <w:i/>
          <w:color w:val="0F4C3A"/>
          <w:sz w:val="22"/>
        </w:rPr>
        <w:t>PublicLogic exists because these problems are common, expensive, and preventable.</w:t>
      </w:r>
    </w:p>
    <w:p>
      <w:pPr>
        <w:spacing w:before="160" w:after="4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THE PROGRESSION  (this is how people actually buy)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Layer · Verb</w:t>
            </w:r>
          </w:p>
        </w:tc>
        <w:tc>
          <w:tcPr>
            <w:tcW w:type="dxa" w:w="6768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What the buyer is saying</w:t>
            </w:r>
          </w:p>
        </w:tc>
      </w:tr>
      <w:tr>
        <w:tc>
          <w:tcPr>
            <w:tcW w:type="dxa" w:w="316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LogicCommons · Understand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“I need help understanding.”  — free public templates, checklists, frameworks.</w:t>
            </w:r>
          </w:p>
        </w:tc>
      </w:tr>
      <w:tr>
        <w:tc>
          <w:tcPr>
            <w:tcW w:type="dxa" w:w="316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Permit &amp; Bridge · Navigate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“I need help navigating.”  — find the path through permits, boards, funding.</w:t>
            </w:r>
          </w:p>
        </w:tc>
      </w:tr>
      <w:tr>
        <w:tc>
          <w:tcPr>
            <w:tcW w:type="dxa" w:w="316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Stewardship Map · Diagnose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“I need to know what actually needs to happen.”  — the safe paid first step.</w:t>
            </w:r>
          </w:p>
        </w:tc>
      </w:tr>
      <w:tr>
        <w:tc>
          <w:tcPr>
            <w:tcW w:type="dxa" w:w="316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PublicLogic · Deliver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“I need help getting this done.”  — sprints, implementation, capacity.</w:t>
            </w:r>
          </w:p>
        </w:tc>
      </w:tr>
    </w:tbl>
    <w:p>
      <w:pPr>
        <w:spacing w:before="60" w:after="60" w:line="252" w:lineRule="auto"/>
        <w:jc w:val="left"/>
      </w:pPr>
      <w:r>
        <w:rPr>
          <w:rFonts w:ascii="Calibri" w:hAnsi="Calibri"/>
          <w:b w:val="0"/>
          <w:i/>
          <w:color w:val="6B6660"/>
          <w:sz w:val="19"/>
        </w:rPr>
        <w:t>Delivered through Continuity &amp; Stewardship Systems — the records, processes, templates, environments, accountability, and proof that help the work survive turnover. It's the plumbing, not a product.</w:t>
      </w:r>
    </w:p>
    <w:p>
      <w:pPr>
        <w:spacing w:before="0" w:after="80" w:line="252" w:lineRule="auto"/>
        <w:jc w:val="left"/>
      </w:pPr>
      <w:r>
        <w:rPr>
          <w:rFonts w:ascii="Calibri" w:hAnsi="Calibri"/>
          <w:b w:val="0"/>
          <w:i/>
          <w:color w:val="6B6660"/>
          <w:sz w:val="19"/>
        </w:rPr>
        <w:t>What we're becoming:  LogicCommons = public infrastructure · Permit &amp; Bridge = navigation infrastructure · PublicLogic = professional services · Continuity &amp; Stewardship Systems = delivery infrastructure.</w:t>
      </w:r>
    </w:p>
    <w:p>
      <w:pPr>
        <w:spacing w:before="40" w:after="120" w:line="252" w:lineRule="auto"/>
        <w:jc w:val="left"/>
      </w:pPr>
      <w:r>
        <w:rPr>
          <w:rFonts w:ascii="Calibri" w:hAnsi="Calibri"/>
          <w:b/>
          <w:i w:val="0"/>
          <w:color w:val="0F4C3A"/>
          <w:sz w:val="23"/>
        </w:rPr>
        <w:t xml:space="preserve">The one-line version:  </w:t>
      </w:r>
      <w:r>
        <w:rPr>
          <w:rFonts w:ascii="Georgia" w:hAnsi="Georgia"/>
          <w:b w:val="0"/>
          <w:i/>
          <w:color w:val="1A1D20"/>
          <w:sz w:val="23"/>
        </w:rPr>
        <w:t>Help people understand the path. Help projects move through the path. Leave the path easier for the next person.</w:t>
      </w:r>
    </w:p>
    <w:p>
      <w:pPr>
        <w:spacing w:before="40" w:after="4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WHAT'S IN THE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6768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What it's for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Capabilities Workbook v2.0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The operating document. 12 tabs (incl. a Language / Do-Not-Say guardrail). Internal strategy — start here.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The Path (one-page visual)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The five-layer / five-verb diagram. Goes everywhere.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One Pager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The whole thing on one page. For a fast read or a first send.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Capabilities &amp; Positioning deck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The narrative version, for a meeting or a screen-share.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Stewardship Map — Scope &amp; Fee Sheet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Sellable. $2,500–$7,500, fixed, non-contingent. The first real sale.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Permit Path Scan — Scope &amp; Fee Sheet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Sellable. $500 flat triage. The cheap entry that feeds the Map.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Permit &amp; Bridge Sprint — Scope &amp; Fee Sheet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Sellable. $7,500–$15,000. Six concrete deliverables for a stuck project.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Permit Path Scan — 30-Day Cash Offer (run book)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The wedge to cash this month, ring-fenced under LogicCommons / Permit &amp; Bridge.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LogicCommons — “Can I Do This?” worksheet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The free public artifact. Trust + triage; feeds the Scan.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Five Outreach Emails (Tier 1)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Short, no-hype notes that ask for one conversation.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Proof &amp; Case Example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The proof framework + a fill-in case template that turns each job into a quantified result.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Website Copy (v1 Ecosystem)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Every page, in the canon voice. The live site is built from this.</w:t>
            </w:r>
          </w:p>
        </w:tc>
      </w:tr>
    </w:tbl>
    <w:p>
      <w:pPr>
        <w:spacing w:before="160" w:after="4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THE OFFER LADDER  (quick reference)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6768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Price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Tier 0 — Public Permit Helper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Free / very low cost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Tier 1 — Permit Path Scan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$500 flat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Tier 2 — Stewardship Map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$2,500 – $7,500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Tier 3 — Permit &amp; Bridge Sprint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$7,500 – $15,000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Tier 4 — White-Glove Implementation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$3,500 – $8,500 / month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/>
                <w:color w:val="1A1D20"/>
                <w:sz w:val="20"/>
              </w:rPr>
              <w:t>Tier 5 — Funding / Grant Build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$5,000 – $25,000 (scope-dependent)</w:t>
            </w:r>
          </w:p>
        </w:tc>
      </w:tr>
    </w:tbl>
    <w:p>
      <w:pPr>
        <w:spacing w:before="60" w:after="120" w:line="252" w:lineRule="auto"/>
        <w:jc w:val="left"/>
      </w:pPr>
      <w:r>
        <w:rPr>
          <w:rFonts w:ascii="Calibri" w:hAnsi="Calibri"/>
          <w:b w:val="0"/>
          <w:i/>
          <w:color w:val="6B6660"/>
          <w:sz w:val="19"/>
        </w:rPr>
        <w:t>Credit policy: a paid tier credits toward the next engagement, but credits don't stack — up to one tier's fee credits forward. Low entry risk, protected margin.</w:t>
      </w:r>
    </w:p>
    <w:p>
      <w:pPr>
        <w:spacing w:before="40" w:after="4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THE NEXT 90 DAYS  (the ball moves here, not in another workbook)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Move</w:t>
            </w:r>
          </w:p>
        </w:tc>
        <w:tc>
          <w:tcPr>
            <w:tcW w:type="dxa" w:w="6768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What it looks like</w:t>
            </w:r>
          </w:p>
        </w:tc>
      </w:tr>
      <w:tr>
        <w:tc>
          <w:tcPr>
            <w:tcW w:type="dxa" w:w="316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1 · Show Allie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Walk the workbook. If she says “yes, that's us,” stop editing and start selling.</w:t>
            </w:r>
          </w:p>
        </w:tc>
      </w:tr>
      <w:tr>
        <w:tc>
          <w:tcPr>
            <w:tcW w:type="dxa" w:w="316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2 · Stand up the two MVPs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LogicCommons MVP (a handful of free templates) and Permit &amp; Bridge MVP (the public “Can I do this?” helper). Small and real.</w:t>
            </w:r>
          </w:p>
        </w:tc>
      </w:tr>
      <w:tr>
        <w:tc>
          <w:tcPr>
            <w:tcW w:type="dxa" w:w="316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3 · Sell 2–4 Maps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Use the Scope &amp; Fee sheet with warm Tier-1 relationships. The Map is the wedge into everything else.</w:t>
            </w:r>
          </w:p>
        </w:tc>
      </w:tr>
      <w:tr>
        <w:tc>
          <w:tcPr>
            <w:tcW w:type="dxa" w:w="316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4 · Make the calls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color w:val="1A1D20"/>
                <w:sz w:val="20"/>
              </w:rPr>
              <w:t>CMRPC. MRPC. Community Paradigm. Warm municipal contacts. One client conversation beats ten workbook revisions.</w:t>
            </w:r>
          </w:p>
        </w:tc>
      </w:tr>
    </w:tbl>
    <w:p>
      <w:pPr>
        <w:spacing w:before="16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WHO TO CALL FIRST  (Tier 1)</w:t>
      </w:r>
    </w:p>
    <w:p>
      <w:pPr>
        <w:spacing w:before="40" w:after="160" w:line="252" w:lineRule="auto"/>
        <w:jc w:val="left"/>
      </w:pPr>
      <w:r>
        <w:rPr>
          <w:rFonts w:ascii="Calibri" w:hAnsi="Calibri"/>
          <w:b w:val="0"/>
          <w:i w:val="0"/>
          <w:color w:val="1A1D20"/>
          <w:sz w:val="21"/>
        </w:rPr>
        <w:t>Existing municipal network  ·  Regional planning agencies (CMRPC, MRPC)  ·  Engineering firms  ·  Municipal consulting firms (Community Paradigm).</w:t>
      </w:r>
      <w:r>
        <w:rPr>
          <w:rFonts w:ascii="Calibri" w:hAnsi="Calibri"/>
          <w:b w:val="0"/>
          <w:i/>
          <w:color w:val="6B6660"/>
          <w:sz w:val="21"/>
        </w:rPr>
        <w:t xml:space="preserve">  Warmest relationships, real projects and budgets, shortest sales cycle.</w:t>
      </w:r>
    </w:p>
    <w:p>
      <w:pPr>
        <w:spacing w:before="40" w:after="40" w:line="252" w:lineRule="auto"/>
        <w:jc w:val="center"/>
      </w:pPr>
      <w:r>
        <w:rPr>
          <w:rFonts w:ascii="Georgia" w:hAnsi="Georgia"/>
          <w:b/>
          <w:i/>
          <w:color w:val="0F4C3A"/>
          <w:sz w:val="24"/>
        </w:rPr>
        <w:t>The point isn't to be needed forever. It's to make the next person's job easier.</w:t>
      </w:r>
    </w:p>
    <w:p>
      <w:pPr>
        <w:spacing w:before="40" w:after="160" w:line="252" w:lineRule="auto"/>
        <w:jc w:val="center"/>
      </w:pPr>
      <w:r>
        <w:rPr>
          <w:rFonts w:ascii="Calibri" w:hAnsi="Calibri"/>
          <w:b/>
          <w:i w:val="0"/>
          <w:color w:val="A9772F"/>
          <w:sz w:val="19"/>
        </w:rPr>
        <w:t>If neither PublicLogic gets stronger nor the client gets less dependent, we're doing consulting instead of stewardship.</w:t>
      </w:r>
    </w:p>
    <w:p>
      <w:pPr>
        <w:spacing w:before="0" w:after="0" w:line="252" w:lineRule="auto"/>
        <w:jc w:val="center"/>
      </w:pPr>
      <w:r>
        <w:rPr>
          <w:rFonts w:ascii="Calibri" w:hAnsi="Calibri"/>
          <w:b/>
          <w:i w:val="0"/>
          <w:color w:val="1A1D20"/>
          <w:sz w:val="17"/>
        </w:rPr>
        <w:t>PublicLogic LLC</w:t>
      </w:r>
      <w:r>
        <w:rPr>
          <w:rFonts w:ascii="Calibri" w:hAnsi="Calibri"/>
          <w:b w:val="0"/>
          <w:i w:val="0"/>
          <w:color w:val="6B6660"/>
          <w:sz w:val="17"/>
        </w:rPr>
        <w:t xml:space="preserve">   ·   Nathan Boudreau, MPA / MCPPO   ·   Dr. Allison Weiss Rothschild   ·   Private &amp; Confidential</w:t>
      </w:r>
    </w:p>
    <w:sectPr w:rsidR="00FC693F" w:rsidRPr="0006063C" w:rsidSect="00034616"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