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0" w:line="252" w:lineRule="auto"/>
        <w:jc w:val="left"/>
      </w:pPr>
      <w:r>
        <w:rPr>
          <w:rFonts w:ascii="Calibri" w:hAnsi="Calibri"/>
          <w:b/>
          <w:i w:val="0"/>
          <w:color w:val="A9772F"/>
          <w:sz w:val="22"/>
        </w:rPr>
        <w:t>PUBLICLOGIC</w:t>
      </w:r>
    </w:p>
    <w:p>
      <w:pPr>
        <w:spacing w:before="0" w:after="0" w:line="252" w:lineRule="auto"/>
        <w:jc w:val="left"/>
      </w:pPr>
      <w:r>
        <w:rPr>
          <w:rFonts w:ascii="Georgia" w:hAnsi="Georgia"/>
          <w:b/>
          <w:i w:val="0"/>
          <w:color w:val="1A1D20"/>
          <w:sz w:val="48"/>
        </w:rPr>
        <w:t>Permit &amp; Bridge Sprint</w:t>
      </w:r>
    </w:p>
    <w:p>
      <w:pPr>
        <w:spacing w:before="20" w:after="100" w:line="252" w:lineRule="auto"/>
        <w:jc w:val="left"/>
      </w:pPr>
      <w:r>
        <w:rPr>
          <w:rFonts w:ascii="Calibri" w:hAnsi="Calibri"/>
          <w:b w:val="0"/>
          <w:i/>
          <w:color w:val="0F4C3A"/>
          <w:sz w:val="22"/>
        </w:rPr>
        <w:t>Scope &amp; Fee Sheet  ·  White-glove help moving a project through the public system.</w:t>
      </w:r>
    </w:p>
    <w:p>
      <w:pPr>
        <w:spacing w:before="40" w:after="20" w:line="252" w:lineRule="auto"/>
        <w:jc w:val="left"/>
      </w:pPr>
      <w:r>
        <w:rPr>
          <w:rFonts w:ascii="Calibri" w:hAnsi="Calibri"/>
          <w:b/>
          <w:i w:val="0"/>
          <w:color w:val="0F4C3A"/>
          <w:sz w:val="20"/>
        </w:rPr>
        <w:t>WHAT IT IS</w:t>
      </w:r>
    </w:p>
    <w:p>
      <w:pPr>
        <w:spacing w:before="40" w:after="100" w:line="252" w:lineRule="auto"/>
        <w:jc w:val="left"/>
      </w:pPr>
      <w:r>
        <w:rPr>
          <w:rFonts w:ascii="Calibri" w:hAnsi="Calibri"/>
          <w:b w:val="0"/>
          <w:i w:val="0"/>
          <w:color w:val="1A1D20"/>
          <w:sz w:val="21"/>
        </w:rPr>
        <w:t>You have a specific project — a building, a use, a program, a development — that has to move through permits, boards, funding, and stakeholders. Permit &amp; Bridge is the engagement where we carry it through that public system with you, so it keeps moving and nothing falls through the cracks between the people involved.</w:t>
      </w:r>
    </w:p>
    <w:p>
      <w:pPr>
        <w:spacing w:before="40" w:after="20" w:line="252" w:lineRule="auto"/>
        <w:jc w:val="left"/>
      </w:pPr>
      <w:r>
        <w:rPr>
          <w:rFonts w:ascii="Calibri" w:hAnsi="Calibri"/>
          <w:b/>
          <w:i w:val="0"/>
          <w:color w:val="0F4C3A"/>
          <w:sz w:val="20"/>
        </w:rPr>
        <w:t>WHO IT'S FOR</w:t>
      </w:r>
    </w:p>
    <w:p>
      <w:pPr>
        <w:spacing w:before="40" w:after="100" w:line="252" w:lineRule="auto"/>
        <w:jc w:val="left"/>
      </w:pPr>
      <w:r>
        <w:rPr>
          <w:rFonts w:ascii="Calibri" w:hAnsi="Calibri"/>
          <w:b w:val="0"/>
          <w:i/>
          <w:color w:val="6B6660"/>
          <w:sz w:val="19"/>
        </w:rPr>
        <w:t>Project sponsors — developers, towns, nonprofits, and businesses — with one real project that is stalled, about to start, or stuck between offices. (If you only need to know which path you're on, start with a $500 Permit Path Scan instead.)</w:t>
      </w:r>
    </w:p>
    <w:p>
      <w:pPr>
        <w:spacing w:before="40" w:after="40" w:line="252" w:lineRule="auto"/>
        <w:jc w:val="left"/>
      </w:pPr>
      <w:r>
        <w:rPr>
          <w:rFonts w:ascii="Calibri" w:hAnsi="Calibri"/>
          <w:b/>
          <w:i w:val="0"/>
          <w:color w:val="0F4C3A"/>
          <w:sz w:val="20"/>
        </w:rPr>
        <w:t>WHAT YOU GET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240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Approvals Map</w:t>
            </w:r>
          </w:p>
        </w:tc>
        <w:tc>
          <w:tcPr>
            <w:tcW w:type="dxa" w:w="6696"/>
          </w:tcPr>
          <w:p>
            <w:r>
              <w:rPr>
                <w:rFonts w:ascii="Calibri" w:hAnsi="Calibri"/>
                <w:color w:val="1A1D20"/>
                <w:sz w:val="20"/>
              </w:rPr>
              <w:t>Every permit, board, and approval the project needs — in the order they have to happen.</w:t>
            </w:r>
          </w:p>
        </w:tc>
      </w:tr>
      <w:tr>
        <w:tc>
          <w:tcPr>
            <w:tcW w:type="dxa" w:w="3240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Stakeholder &amp; Board Plan</w:t>
            </w:r>
          </w:p>
        </w:tc>
        <w:tc>
          <w:tcPr>
            <w:tcW w:type="dxa" w:w="6696"/>
          </w:tcPr>
          <w:p>
            <w:r>
              <w:rPr>
                <w:rFonts w:ascii="Calibri" w:hAnsi="Calibri"/>
                <w:color w:val="1A1D20"/>
                <w:sz w:val="20"/>
              </w:rPr>
              <w:t>Who must say yes, in what sequence, and what each one will want to see.</w:t>
            </w:r>
          </w:p>
        </w:tc>
      </w:tr>
      <w:tr>
        <w:tc>
          <w:tcPr>
            <w:tcW w:type="dxa" w:w="3240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Submission Checklist</w:t>
            </w:r>
          </w:p>
        </w:tc>
        <w:tc>
          <w:tcPr>
            <w:tcW w:type="dxa" w:w="6696"/>
          </w:tcPr>
          <w:p>
            <w:r>
              <w:rPr>
                <w:rFonts w:ascii="Calibri" w:hAnsi="Calibri"/>
                <w:color w:val="1A1D20"/>
                <w:sz w:val="20"/>
              </w:rPr>
              <w:t>The documents, drawings, and filings each body will require — gathered before you go.</w:t>
            </w:r>
          </w:p>
        </w:tc>
      </w:tr>
      <w:tr>
        <w:tc>
          <w:tcPr>
            <w:tcW w:type="dxa" w:w="3240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Coordination &amp; Hearing Support</w:t>
            </w:r>
          </w:p>
        </w:tc>
        <w:tc>
          <w:tcPr>
            <w:tcW w:type="dxa" w:w="6696"/>
          </w:tcPr>
          <w:p>
            <w:r>
              <w:rPr>
                <w:rFonts w:ascii="Calibri" w:hAnsi="Calibri"/>
                <w:color w:val="1A1D20"/>
                <w:sz w:val="20"/>
              </w:rPr>
              <w:t>We manage the path, prep the submissions, and ready you for the meetings and hearings.</w:t>
            </w:r>
          </w:p>
        </w:tc>
      </w:tr>
      <w:tr>
        <w:tc>
          <w:tcPr>
            <w:tcW w:type="dxa" w:w="3240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Funding Alignment (optional)</w:t>
            </w:r>
          </w:p>
        </w:tc>
        <w:tc>
          <w:tcPr>
            <w:tcW w:type="dxa" w:w="6696"/>
          </w:tcPr>
          <w:p>
            <w:r>
              <w:rPr>
                <w:rFonts w:ascii="Calibri" w:hAnsi="Calibri"/>
                <w:color w:val="1A1D20"/>
                <w:sz w:val="20"/>
              </w:rPr>
              <w:t>Line the approvals up with grant or funding timing so nothing expires waiting.</w:t>
            </w:r>
          </w:p>
        </w:tc>
      </w:tr>
      <w:tr>
        <w:tc>
          <w:tcPr>
            <w:tcW w:type="dxa" w:w="3240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Handoff Record</w:t>
            </w:r>
          </w:p>
        </w:tc>
        <w:tc>
          <w:tcPr>
            <w:tcW w:type="dxa" w:w="6696"/>
          </w:tcPr>
          <w:p>
            <w:r>
              <w:rPr>
                <w:rFonts w:ascii="Calibri" w:hAnsi="Calibri"/>
                <w:color w:val="1A1D20"/>
                <w:sz w:val="20"/>
              </w:rPr>
              <w:t>A clear record of how you got there and who owns what next — so it survives the project.</w:t>
            </w:r>
          </w:p>
        </w:tc>
      </w:tr>
    </w:tbl>
    <w:p>
      <w:pPr>
        <w:spacing w:before="140" w:after="20" w:line="252" w:lineRule="auto"/>
        <w:jc w:val="left"/>
      </w:pPr>
      <w:r>
        <w:rPr>
          <w:rFonts w:ascii="Calibri" w:hAnsi="Calibri"/>
          <w:b/>
          <w:i w:val="0"/>
          <w:color w:val="0F4C3A"/>
          <w:sz w:val="20"/>
        </w:rPr>
        <w:t>FEE</w:t>
      </w:r>
    </w:p>
    <w:p>
      <w:pPr>
        <w:spacing w:before="40" w:after="20" w:line="252" w:lineRule="auto"/>
        <w:jc w:val="left"/>
      </w:pPr>
      <w:r>
        <w:rPr>
          <w:rFonts w:ascii="Georgia" w:hAnsi="Georgia"/>
          <w:b/>
          <w:i w:val="0"/>
          <w:color w:val="1A1D20"/>
          <w:sz w:val="24"/>
        </w:rPr>
        <w:t>$7,500 – $15,000</w:t>
      </w:r>
      <w:r>
        <w:rPr>
          <w:rFonts w:ascii="Calibri" w:hAnsi="Calibri"/>
          <w:b w:val="0"/>
          <w:i/>
          <w:color w:val="6B6660"/>
          <w:sz w:val="24"/>
        </w:rPr>
        <w:t xml:space="preserve">   fixed sprint fee, scoped to the number of approvals and bodies involved.</w:t>
      </w:r>
    </w:p>
    <w:p>
      <w:pPr>
        <w:spacing w:before="40" w:after="100" w:line="252" w:lineRule="auto"/>
        <w:jc w:val="left"/>
      </w:pPr>
      <w:r>
        <w:rPr>
          <w:rFonts w:ascii="Calibri" w:hAnsi="Calibri"/>
          <w:b w:val="0"/>
          <w:i/>
          <w:color w:val="6B6660"/>
          <w:sz w:val="19"/>
        </w:rPr>
        <w:t>Non-contingent — our fee never depends on an approval being granted. Many sponsors continue into White-Glove Implementation ($3,500–$8,500/month) to carry the path to the finish. A prior Permit Path Scan or Stewardship Map credits toward this sprint; credits don't stack.</w:t>
      </w:r>
    </w:p>
    <w:p>
      <w:pPr>
        <w:spacing w:before="40" w:after="20" w:line="252" w:lineRule="auto"/>
        <w:jc w:val="left"/>
      </w:pPr>
      <w:r>
        <w:rPr>
          <w:rFonts w:ascii="Calibri" w:hAnsi="Calibri"/>
          <w:b/>
          <w:i w:val="0"/>
          <w:color w:val="0F4C3A"/>
          <w:sz w:val="20"/>
        </w:rPr>
        <w:t>WHY IT MATTERS</w:t>
      </w:r>
    </w:p>
    <w:p>
      <w:pPr>
        <w:spacing w:before="40" w:after="80" w:line="252" w:lineRule="auto"/>
        <w:jc w:val="left"/>
      </w:pPr>
      <w:r>
        <w:rPr>
          <w:rFonts w:ascii="Calibri" w:hAnsi="Calibri"/>
          <w:b/>
          <w:i w:val="0"/>
          <w:color w:val="1A1D20"/>
          <w:sz w:val="21"/>
        </w:rPr>
        <w:t xml:space="preserve">Most sponsors understand their project. What stalls them is the public system around it. </w:t>
      </w:r>
      <w:r>
        <w:rPr>
          <w:rFonts w:ascii="Calibri" w:hAnsi="Calibri"/>
          <w:b w:val="0"/>
          <w:i w:val="0"/>
          <w:color w:val="1A1D20"/>
          <w:sz w:val="21"/>
        </w:rPr>
        <w:t>We become the bridge — translating between the project and the system so good projects don't die in the gaps between offices.</w:t>
      </w:r>
    </w:p>
    <w:p>
      <w:pPr>
        <w:spacing w:before="40" w:after="20" w:line="252" w:lineRule="auto"/>
        <w:jc w:val="left"/>
      </w:pPr>
      <w:r>
        <w:rPr>
          <w:rFonts w:ascii="Calibri" w:hAnsi="Calibri"/>
          <w:b/>
          <w:i w:val="0"/>
          <w:color w:val="0F4C3A"/>
          <w:sz w:val="20"/>
        </w:rPr>
        <w:t>THE PROMISE</w:t>
      </w:r>
    </w:p>
    <w:p>
      <w:pPr>
        <w:spacing w:before="40" w:after="100" w:line="252" w:lineRule="auto"/>
        <w:jc w:val="left"/>
      </w:pPr>
      <w:r>
        <w:rPr>
          <w:rFonts w:ascii="Georgia" w:hAnsi="Georgia"/>
          <w:b/>
          <w:i/>
          <w:color w:val="1A1D20"/>
          <w:sz w:val="24"/>
        </w:rPr>
        <w:t>You leave with a clear path forward, a clear record of how you got there, and a clear understanding of who owns what next.</w:t>
      </w:r>
    </w:p>
    <w:p>
      <w:pPr>
        <w:spacing w:before="40" w:after="20" w:line="252" w:lineRule="auto"/>
        <w:jc w:val="left"/>
      </w:pPr>
      <w:r>
        <w:rPr>
          <w:rFonts w:ascii="Calibri" w:hAnsi="Calibri"/>
          <w:b/>
          <w:i w:val="0"/>
          <w:color w:val="0F4C3A"/>
          <w:sz w:val="20"/>
        </w:rPr>
        <w:t>PROOF</w:t>
      </w:r>
    </w:p>
    <w:p>
      <w:pPr>
        <w:spacing w:before="40" w:after="120" w:line="252" w:lineRule="auto"/>
        <w:jc w:val="left"/>
      </w:pPr>
      <w:r>
        <w:rPr>
          <w:rFonts w:ascii="Calibri" w:hAnsi="Calibri"/>
          <w:b w:val="0"/>
          <w:i/>
          <w:color w:val="1A1D20"/>
          <w:sz w:val="20"/>
        </w:rPr>
        <w:t>Similar reviews have helped project sponsors understand permitting, stakeholder, and board pathways before committing significant time and money.</w:t>
      </w:r>
    </w:p>
    <w:p>
      <w:pPr>
        <w:spacing w:before="40" w:after="40" w:line="252" w:lineRule="auto"/>
        <w:jc w:val="center"/>
      </w:pPr>
      <w:r>
        <w:rPr>
          <w:rFonts w:ascii="Georgia" w:hAnsi="Georgia"/>
          <w:b/>
          <w:i/>
          <w:color w:val="0F4C3A"/>
          <w:sz w:val="24"/>
        </w:rPr>
        <w:t>Permit &amp; Bridge helps the public understand the path and helps project sponsors move through it.</w:t>
      </w:r>
    </w:p>
    <w:p>
      <w:pPr>
        <w:spacing w:before="40" w:after="20" w:line="252" w:lineRule="auto"/>
        <w:jc w:val="center"/>
      </w:pPr>
      <w:r>
        <w:rPr>
          <w:rFonts w:ascii="Calibri" w:hAnsi="Calibri"/>
          <w:b w:val="0"/>
          <w:i/>
          <w:color w:val="6B6660"/>
          <w:sz w:val="17"/>
        </w:rPr>
        <w:t>PublicLogic does not replace the municipality, inspector, planner, or permitting authority. © PublicLogic LLC.</w:t>
      </w:r>
    </w:p>
    <w:p>
      <w:pPr>
        <w:spacing w:before="0" w:after="0" w:line="252" w:lineRule="auto"/>
        <w:jc w:val="center"/>
      </w:pPr>
      <w:r>
        <w:rPr>
          <w:rFonts w:ascii="Calibri" w:hAnsi="Calibri"/>
          <w:b w:val="0"/>
          <w:i w:val="0"/>
          <w:color w:val="6B6660"/>
          <w:sz w:val="17"/>
        </w:rPr>
        <w:t>PublicLogic LLC  ·  Nathan Boudreau, MPA / MCPPO  ·  nate@publiclogic.org  ·  Private &amp; Confidential</w:t>
      </w:r>
    </w:p>
    <w:sectPr w:rsidR="00FC693F" w:rsidRPr="0006063C" w:rsidSect="00034616">
      <w:pgSz w:w="12240" w:h="15840"/>
      <w:pgMar w:top="792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