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4" w:lineRule="auto"/>
        <w:jc w:val="left"/>
      </w:pPr>
      <w:r>
        <w:rPr>
          <w:rFonts w:ascii="Calibri" w:hAnsi="Calibri"/>
          <w:b/>
          <w:i w:val="0"/>
          <w:color w:val="A9772F"/>
          <w:sz w:val="20"/>
        </w:rPr>
        <w:t>PUBLICLOGIC   ·   LOGICCOMMONS / PERMIT &amp; BRIDGE</w:t>
      </w:r>
    </w:p>
    <w:p>
      <w:pPr>
        <w:spacing w:before="0" w:after="0" w:line="254" w:lineRule="auto"/>
        <w:jc w:val="left"/>
      </w:pPr>
      <w:r>
        <w:rPr>
          <w:rFonts w:ascii="Georgia" w:hAnsi="Georgia"/>
          <w:b/>
          <w:i w:val="0"/>
          <w:color w:val="1A1D20"/>
          <w:sz w:val="46"/>
        </w:rPr>
        <w:t>Permit Path Scan — 30-Day Cash Offer</w:t>
      </w:r>
    </w:p>
    <w:p>
      <w:pPr>
        <w:spacing w:before="20" w:after="80" w:line="254" w:lineRule="auto"/>
        <w:jc w:val="left"/>
      </w:pPr>
      <w:r>
        <w:rPr>
          <w:rFonts w:ascii="Calibri" w:hAnsi="Calibri"/>
          <w:b w:val="0"/>
          <w:i/>
          <w:color w:val="0F4C3A"/>
          <w:sz w:val="20"/>
        </w:rPr>
        <w:t>Run book · v1 · June 2026 · Private &amp; Confidential.  Sells under the public-facing layer so PublicLogic stewardship stays uncheapened.</w:t>
      </w:r>
    </w:p>
    <w:p>
      <w:pPr>
        <w:spacing w:before="40" w:after="20" w:line="254" w:lineRule="auto"/>
        <w:jc w:val="left"/>
      </w:pPr>
      <w:r>
        <w:rPr>
          <w:rFonts w:ascii="Calibri" w:hAnsi="Calibri"/>
          <w:b/>
          <w:i w:val="0"/>
          <w:color w:val="0F4C3A"/>
          <w:sz w:val="26"/>
        </w:rPr>
        <w:t xml:space="preserve">The one line:   </w:t>
      </w:r>
      <w:r>
        <w:rPr>
          <w:rFonts w:ascii="Georgia" w:hAnsi="Georgia"/>
          <w:b/>
          <w:i/>
          <w:color w:val="1A1D20"/>
          <w:sz w:val="26"/>
        </w:rPr>
        <w:t>“Stop guessing before you spend money.”</w:t>
      </w:r>
    </w:p>
    <w:p>
      <w:pPr>
        <w:spacing w:before="40" w:after="60" w:line="254" w:lineRule="auto"/>
        <w:jc w:val="left"/>
      </w:pPr>
      <w:r>
        <w:rPr>
          <w:rFonts w:ascii="Calibri" w:hAnsi="Calibri"/>
          <w:b w:val="0"/>
          <w:i/>
          <w:color w:val="6B6660"/>
          <w:sz w:val="19"/>
        </w:rPr>
        <w:t>Don’t sell stewardship for this. Sell relief from permitting confusion to people with a deadline and a checkbook.</w:t>
      </w:r>
    </w:p>
    <w:p>
      <w:pPr>
        <w:spacing w:before="180" w:after="40" w:line="254" w:lineRule="auto"/>
        <w:jc w:val="left"/>
      </w:pPr>
      <w:r>
        <w:rPr>
          <w:rFonts w:ascii="Calibri" w:hAnsi="Calibri"/>
          <w:b/>
          <w:i w:val="0"/>
          <w:color w:val="0F4C3A"/>
          <w:sz w:val="22"/>
        </w:rPr>
        <w:t>THE OFFER</w:t>
      </w:r>
    </w:p>
    <w:p>
      <w:pPr>
        <w:spacing w:before="40" w:after="20" w:line="254" w:lineRule="auto"/>
        <w:jc w:val="left"/>
      </w:pPr>
      <w:r>
        <w:rPr>
          <w:rFonts w:ascii="Calibri" w:hAnsi="Calibri"/>
          <w:b/>
          <w:i w:val="0"/>
          <w:color w:val="1A1D20"/>
          <w:sz w:val="21"/>
        </w:rPr>
        <w:t xml:space="preserve">Permit Path Scan — $500 flat, 3 business days. </w:t>
      </w:r>
      <w:r>
        <w:rPr>
          <w:rFonts w:ascii="Calibri" w:hAnsi="Calibri"/>
          <w:b w:val="0"/>
          <w:i w:val="0"/>
          <w:color w:val="1A1D20"/>
          <w:sz w:val="21"/>
        </w:rPr>
        <w:t>For anyone stuck asking: “Can I do this, who do I call, and what do I need?”</w:t>
      </w:r>
    </w:p>
    <w:p>
      <w:pPr>
        <w:spacing w:before="40" w:after="20" w:line="254" w:lineRule="auto"/>
        <w:jc w:val="left"/>
      </w:pPr>
      <w:r>
        <w:rPr>
          <w:rFonts w:ascii="Calibri" w:hAnsi="Calibri"/>
          <w:b/>
          <w:i w:val="0"/>
          <w:color w:val="0F4C3A"/>
          <w:sz w:val="21"/>
        </w:rPr>
        <w:t xml:space="preserve">Deliverable: </w:t>
      </w:r>
      <w:r>
        <w:rPr>
          <w:rFonts w:ascii="Calibri" w:hAnsi="Calibri"/>
          <w:b w:val="0"/>
          <w:i w:val="0"/>
          <w:color w:val="1A1D20"/>
          <w:sz w:val="21"/>
        </w:rPr>
        <w:t>a 2–4 page memo — likely boards/offices, the permit path, documents needed, risk points, a first call/email script, and the next three moves.</w:t>
      </w:r>
    </w:p>
    <w:p>
      <w:pPr>
        <w:spacing w:before="40" w:after="40" w:line="254" w:lineRule="auto"/>
        <w:jc w:val="left"/>
      </w:pPr>
      <w:r>
        <w:rPr>
          <w:rFonts w:ascii="Calibri" w:hAnsi="Calibri"/>
          <w:b/>
          <w:i w:val="0"/>
          <w:color w:val="8B2A1A"/>
          <w:sz w:val="21"/>
        </w:rPr>
        <w:t xml:space="preserve">Language is load-bearing. </w:t>
      </w:r>
      <w:r>
        <w:rPr>
          <w:rFonts w:ascii="Calibri" w:hAnsi="Calibri"/>
          <w:b w:val="0"/>
          <w:i/>
          <w:color w:val="1A1D20"/>
          <w:sz w:val="21"/>
        </w:rPr>
        <w:t>Everything stays in likely / probably. The Scan points at the most likely path; the permitting authority always makes the final call. Don’t let a phone call talk you out of the hedge — it’s what keeps a $500 opinion from becoming a liability.</w:t>
      </w:r>
    </w:p>
    <w:p>
      <w:pPr>
        <w:spacing w:before="180" w:after="40" w:line="254" w:lineRule="auto"/>
        <w:jc w:val="left"/>
      </w:pPr>
      <w:r>
        <w:rPr>
          <w:rFonts w:ascii="Calibri" w:hAnsi="Calibri"/>
          <w:b/>
          <w:i w:val="0"/>
          <w:color w:val="0F4C3A"/>
          <w:sz w:val="22"/>
        </w:rPr>
        <w:t>PRICE LADDER — 30 DAYS ONLY</w:t>
      </w:r>
    </w:p>
    <w:tbl>
      <w:tblPr>
        <w:tblW w:type="auto" w:w="0"/>
        <w:jc w:val="center"/>
        <w:tblLayout w:type="fixed"/>
        <w:tblLook w:firstColumn="1" w:firstRow="1" w:lastColumn="0" w:lastRow="0" w:noHBand="0" w:noVBand="1" w:val="04A0"/>
      </w:tblPr>
      <w:tblGrid>
        <w:gridCol w:w="3264"/>
        <w:gridCol w:w="3264"/>
        <w:gridCol w:w="3264"/>
      </w:tblGrid>
      <w:tr>
        <w:tc>
          <w:tcPr>
            <w:tcW w:type="dxa" w:w="2880"/>
            <w:shd w:val="clear" w:fill="1A1D20"/>
          </w:tcPr>
          <w:p>
            <w:r>
              <w:rPr>
                <w:rFonts w:ascii="Calibri" w:hAnsi="Calibri"/>
                <w:b/>
                <w:color w:val="FFFFFF"/>
                <w:sz w:val="19"/>
              </w:rPr>
              <w:t>Tier</w:t>
            </w:r>
          </w:p>
        </w:tc>
        <w:tc>
          <w:tcPr>
            <w:tcW w:type="dxa" w:w="1296"/>
            <w:shd w:val="clear" w:fill="1A1D20"/>
          </w:tcPr>
          <w:p>
            <w:r>
              <w:rPr>
                <w:rFonts w:ascii="Calibri" w:hAnsi="Calibri"/>
                <w:b/>
                <w:color w:val="FFFFFF"/>
                <w:sz w:val="19"/>
              </w:rPr>
              <w:t>Price</w:t>
            </w:r>
          </w:p>
        </w:tc>
        <w:tc>
          <w:tcPr>
            <w:tcW w:type="dxa" w:w="5760"/>
            <w:shd w:val="clear" w:fill="1A1D20"/>
          </w:tcPr>
          <w:p>
            <w:r>
              <w:rPr>
                <w:rFonts w:ascii="Calibri" w:hAnsi="Calibri"/>
                <w:b/>
                <w:color w:val="FFFFFF"/>
                <w:sz w:val="19"/>
              </w:rPr>
              <w:t>What it is</w:t>
            </w:r>
          </w:p>
        </w:tc>
      </w:tr>
      <w:tr>
        <w:tc>
          <w:tcPr>
            <w:tcW w:type="dxa" w:w="2880"/>
          </w:tcPr>
          <w:p>
            <w:r>
              <w:rPr>
                <w:rFonts w:ascii="Calibri" w:hAnsi="Calibri"/>
                <w:b/>
                <w:color w:val="1A1D20"/>
                <w:sz w:val="20"/>
              </w:rPr>
              <w:t>Basic Scan</w:t>
            </w:r>
          </w:p>
        </w:tc>
        <w:tc>
          <w:tcPr>
            <w:tcW w:type="dxa" w:w="1296"/>
          </w:tcPr>
          <w:p>
            <w:r>
              <w:rPr>
                <w:rFonts w:ascii="Calibri" w:hAnsi="Calibri"/>
                <w:color w:val="1A1D20"/>
                <w:sz w:val="20"/>
              </w:rPr>
              <w:t>$500</w:t>
            </w:r>
          </w:p>
        </w:tc>
        <w:tc>
          <w:tcPr>
            <w:tcW w:type="dxa" w:w="5760"/>
          </w:tcPr>
          <w:p>
            <w:r>
              <w:rPr>
                <w:rFonts w:ascii="Calibri" w:hAnsi="Calibri"/>
                <w:color w:val="1A1D20"/>
                <w:sz w:val="20"/>
              </w:rPr>
              <w:t>Standard turnaround, 3 business days.</w:t>
            </w:r>
          </w:p>
        </w:tc>
      </w:tr>
      <w:tr>
        <w:tc>
          <w:tcPr>
            <w:tcW w:type="dxa" w:w="2880"/>
          </w:tcPr>
          <w:p>
            <w:r>
              <w:rPr>
                <w:rFonts w:ascii="Calibri" w:hAnsi="Calibri"/>
                <w:b/>
                <w:color w:val="1A1D20"/>
                <w:sz w:val="20"/>
              </w:rPr>
              <w:t>Rush Scan</w:t>
            </w:r>
          </w:p>
        </w:tc>
        <w:tc>
          <w:tcPr>
            <w:tcW w:type="dxa" w:w="1296"/>
          </w:tcPr>
          <w:p>
            <w:r>
              <w:rPr>
                <w:rFonts w:ascii="Calibri" w:hAnsi="Calibri"/>
                <w:color w:val="1A1D20"/>
                <w:sz w:val="20"/>
              </w:rPr>
              <w:t>$750</w:t>
            </w:r>
          </w:p>
        </w:tc>
        <w:tc>
          <w:tcPr>
            <w:tcW w:type="dxa" w:w="5760"/>
          </w:tcPr>
          <w:p>
            <w:r>
              <w:rPr>
                <w:rFonts w:ascii="Calibri" w:hAnsi="Calibri"/>
                <w:color w:val="1A1D20"/>
                <w:sz w:val="20"/>
              </w:rPr>
              <w:t>48-hour turnaround.</w:t>
            </w:r>
          </w:p>
        </w:tc>
      </w:tr>
      <w:tr>
        <w:tc>
          <w:tcPr>
            <w:tcW w:type="dxa" w:w="2880"/>
          </w:tcPr>
          <w:p>
            <w:r>
              <w:rPr>
                <w:rFonts w:ascii="Calibri" w:hAnsi="Calibri"/>
                <w:b/>
                <w:color w:val="1A1D20"/>
                <w:sz w:val="20"/>
              </w:rPr>
              <w:t>Complex Scan (E&amp;O gate)</w:t>
            </w:r>
          </w:p>
        </w:tc>
        <w:tc>
          <w:tcPr>
            <w:tcW w:type="dxa" w:w="1296"/>
          </w:tcPr>
          <w:p>
            <w:r>
              <w:rPr>
                <w:rFonts w:ascii="Calibri" w:hAnsi="Calibri"/>
                <w:color w:val="1A1D20"/>
                <w:sz w:val="20"/>
              </w:rPr>
              <w:t>$1,250</w:t>
            </w:r>
          </w:p>
        </w:tc>
        <w:tc>
          <w:tcPr>
            <w:tcW w:type="dxa" w:w="5760"/>
          </w:tcPr>
          <w:p>
            <w:r>
              <w:rPr>
                <w:rFonts w:ascii="Calibri" w:hAnsi="Calibri"/>
                <w:color w:val="1A1D20"/>
                <w:sz w:val="20"/>
              </w:rPr>
              <w:t>Multiple boards / properties. Highest dollars and reliance — do not sell until E&amp;O is confirmed.</w:t>
            </w:r>
          </w:p>
        </w:tc>
      </w:tr>
      <w:tr>
        <w:tc>
          <w:tcPr>
            <w:tcW w:type="dxa" w:w="2880"/>
          </w:tcPr>
          <w:p>
            <w:r>
              <w:rPr>
                <w:rFonts w:ascii="Calibri" w:hAnsi="Calibri"/>
                <w:b/>
                <w:color w:val="1A1D20"/>
                <w:sz w:val="20"/>
              </w:rPr>
              <w:t>Follow-up call</w:t>
            </w:r>
          </w:p>
        </w:tc>
        <w:tc>
          <w:tcPr>
            <w:tcW w:type="dxa" w:w="1296"/>
          </w:tcPr>
          <w:p>
            <w:r>
              <w:rPr>
                <w:rFonts w:ascii="Calibri" w:hAnsi="Calibri"/>
                <w:color w:val="1A1D20"/>
                <w:sz w:val="20"/>
              </w:rPr>
              <w:t>$150</w:t>
            </w:r>
          </w:p>
        </w:tc>
        <w:tc>
          <w:tcPr>
            <w:tcW w:type="dxa" w:w="5760"/>
          </w:tcPr>
          <w:p>
            <w:r>
              <w:rPr>
                <w:rFonts w:ascii="Calibri" w:hAnsi="Calibri"/>
                <w:color w:val="1A1D20"/>
                <w:sz w:val="20"/>
              </w:rPr>
              <w:t>Walk the memo, answer questions, point to the next move.</w:t>
            </w:r>
          </w:p>
        </w:tc>
      </w:tr>
    </w:tbl>
    <w:p>
      <w:pPr>
        <w:spacing w:before="40" w:after="40" w:line="254" w:lineRule="auto"/>
        <w:jc w:val="left"/>
      </w:pPr>
      <w:r>
        <w:rPr>
          <w:rFonts w:ascii="Calibri" w:hAnsi="Calibri"/>
          <w:b/>
          <w:i w:val="0"/>
          <w:color w:val="8B2A1A"/>
          <w:sz w:val="19"/>
        </w:rPr>
        <w:t xml:space="preserve">Before the $1,250 tier — this week, not after scan #7:  </w:t>
      </w:r>
      <w:r>
        <w:rPr>
          <w:rFonts w:ascii="Calibri" w:hAnsi="Calibri"/>
          <w:b w:val="0"/>
          <w:i/>
          <w:color w:val="1A1D20"/>
          <w:sz w:val="19"/>
        </w:rPr>
        <w:t>Permit-expediting is a legitimate, legal service in MA, so the basic scan is low-risk. The exposure concentrates in the complex/developer tier. Confirm E&amp;O (professional liability) coverage before taking a developer’s $1,250. Keep every scan in likely/probably; never cross into “yes, this use is allowed.” That’s the line between triage and a legal opinion.</w:t>
      </w:r>
    </w:p>
    <w:p>
      <w:pPr>
        <w:spacing w:before="180" w:after="40" w:line="254" w:lineRule="auto"/>
        <w:jc w:val="left"/>
      </w:pPr>
      <w:r>
        <w:rPr>
          <w:rFonts w:ascii="Calibri" w:hAnsi="Calibri"/>
          <w:b/>
          <w:i w:val="0"/>
          <w:color w:val="0F4C3A"/>
          <w:sz w:val="22"/>
        </w:rPr>
        <w:t>TARGET BUYERS — PEOPLE WITH ACTIVE PAIN</w:t>
      </w:r>
    </w:p>
    <w:p>
      <w:pPr>
        <w:spacing w:before="40" w:after="20" w:line="254" w:lineRule="auto"/>
        <w:jc w:val="left"/>
      </w:pPr>
      <w:r>
        <w:rPr>
          <w:rFonts w:ascii="Calibri" w:hAnsi="Calibri"/>
          <w:b w:val="0"/>
          <w:i w:val="0"/>
          <w:color w:val="1A1D20"/>
          <w:sz w:val="21"/>
        </w:rPr>
        <w:t>Go after whoever has a deadline, a purchase, a lease, a contractor, or an opening date attached:</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Contractors, architects, realtors</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Landlords and small business owners (tenant fit-outs, signage, change of use)</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Churches / nonprofits with property</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Homeowners doing ADUs, sheds, additions, food businesses, events</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Developers with small projects</w:t>
      </w:r>
    </w:p>
    <w:p>
      <w:pPr>
        <w:spacing w:before="180" w:after="40" w:line="254" w:lineRule="auto"/>
        <w:jc w:val="left"/>
      </w:pPr>
      <w:r>
        <w:rPr>
          <w:rFonts w:ascii="Calibri" w:hAnsi="Calibri"/>
          <w:b/>
          <w:i w:val="0"/>
          <w:color w:val="0F4C3A"/>
          <w:sz w:val="22"/>
        </w:rPr>
        <w:t>WHERE THE LIST COMES FROM — MINE YOUR NETWORK, DON’T COLD-BLAST</w:t>
      </w:r>
    </w:p>
    <w:p>
      <w:pPr>
        <w:spacing w:before="40" w:after="40" w:line="254" w:lineRule="auto"/>
        <w:jc w:val="left"/>
      </w:pPr>
      <w:r>
        <w:rPr>
          <w:rFonts w:ascii="Calibri" w:hAnsi="Calibri"/>
          <w:b/>
          <w:i w:val="0"/>
          <w:color w:val="1A1D20"/>
          <w:sz w:val="21"/>
        </w:rPr>
        <w:t xml:space="preserve">Cold sends to trades you have no relationship with convert at ~1–3%. </w:t>
      </w:r>
      <w:r>
        <w:rPr>
          <w:rFonts w:ascii="Calibri" w:hAnsi="Calibri"/>
          <w:b w:val="0"/>
          <w:i w:val="0"/>
          <w:color w:val="1A1D20"/>
          <w:sz w:val="21"/>
        </w:rPr>
        <w:t xml:space="preserve">The fast path is warm and referral-fed. Keep the municipal network ON — as the referral engine, not the buyer. Building inspectors, clerks, and the realtors and contractors you already know are the channel to private applicants who can pay this month. The ask is simple: </w:t>
      </w:r>
      <w:r>
        <w:rPr>
          <w:rFonts w:ascii="Calibri" w:hAnsi="Calibri"/>
          <w:b/>
          <w:i/>
          <w:color w:val="0F4C3A"/>
          <w:sz w:val="21"/>
        </w:rPr>
        <w:t>“Who do you know who’s stuck?”</w:t>
      </w:r>
    </w:p>
    <w:p>
      <w:pPr>
        <w:spacing w:before="180" w:after="40" w:line="254" w:lineRule="auto"/>
        <w:jc w:val="left"/>
      </w:pPr>
      <w:r>
        <w:rPr>
          <w:rFonts w:ascii="Calibri" w:hAnsi="Calibri"/>
          <w:b/>
          <w:i w:val="0"/>
          <w:color w:val="0F4C3A"/>
          <w:sz w:val="22"/>
        </w:rPr>
        <w:t>OUTREACH EMAIL — COPY · PASTE · PERSONALIZE THE [BRACKETS]</w:t>
      </w:r>
    </w:p>
    <w:p>
      <w:pPr>
        <w:spacing w:before="40" w:after="40" w:line="254" w:lineRule="auto"/>
        <w:jc w:val="left"/>
      </w:pPr>
      <w:r>
        <w:rPr>
          <w:rFonts w:ascii="Calibri" w:hAnsi="Calibri"/>
          <w:b w:val="0"/>
          <w:i/>
          <w:color w:val="6B6660"/>
          <w:sz w:val="19"/>
        </w:rPr>
        <w:t>Lead with the credential nothing else here uses: you were the Town Administrator who sat on the other side of that counter. That sells a $500 scan faster than “fixed-fee service.”</w:t>
      </w:r>
    </w:p>
    <w:p>
      <w:pPr>
        <w:spacing w:before="40" w:after="20" w:line="252" w:lineRule="auto"/>
        <w:jc w:val="left"/>
      </w:pPr>
      <w:r>
        <w:rPr>
          <w:rFonts w:ascii="Calibri" w:hAnsi="Calibri"/>
          <w:b/>
          <w:i w:val="0"/>
          <w:color w:val="1A1D20"/>
          <w:sz w:val="20"/>
        </w:rPr>
        <w:t>Subject:  Quick permit-path help for stuck projects</w:t>
      </w:r>
    </w:p>
    <w:p>
      <w:pPr>
        <w:spacing w:before="40" w:after="20" w:line="252" w:lineRule="auto"/>
        <w:jc w:val="left"/>
      </w:pPr>
      <w:r>
        <w:rPr>
          <w:rFonts w:ascii="Calibri" w:hAnsi="Calibri"/>
          <w:b w:val="0"/>
          <w:i w:val="0"/>
          <w:color w:val="1A1D20"/>
          <w:sz w:val="20"/>
        </w:rPr>
        <w:t>Hi [Name],</w:t>
      </w:r>
    </w:p>
    <w:p>
      <w:pPr>
        <w:spacing w:before="40" w:after="20" w:line="252" w:lineRule="auto"/>
        <w:jc w:val="left"/>
      </w:pPr>
      <w:r>
        <w:rPr>
          <w:rFonts w:ascii="Calibri" w:hAnsi="Calibri"/>
          <w:b w:val="0"/>
          <w:i w:val="0"/>
          <w:color w:val="1A1D20"/>
          <w:sz w:val="20"/>
        </w:rPr>
        <w:t>I spent years as a Massachusetts Town Administrator — I’ve sat on the board side of the permitting counter and know how these offices actually decide. I’m now offering a small fixed-fee service for people stuck figuring out what permit path they’re really on.</w:t>
      </w:r>
    </w:p>
    <w:p>
      <w:pPr>
        <w:spacing w:before="40" w:after="20" w:line="252" w:lineRule="auto"/>
        <w:jc w:val="left"/>
      </w:pPr>
      <w:r>
        <w:rPr>
          <w:rFonts w:ascii="Calibri" w:hAnsi="Calibri"/>
          <w:b w:val="0"/>
          <w:i w:val="0"/>
          <w:color w:val="1A1D20"/>
          <w:sz w:val="20"/>
        </w:rPr>
        <w:t>For $500 I review the project and give a short Permit Path Scan: who to call first, what board or office likely handles it, the documents they’ll probably need, where it tends to stall, and the next three moves. Three business days.</w:t>
      </w:r>
    </w:p>
    <w:p>
      <w:pPr>
        <w:spacing w:before="40" w:after="20" w:line="252" w:lineRule="auto"/>
        <w:jc w:val="left"/>
      </w:pPr>
      <w:r>
        <w:rPr>
          <w:rFonts w:ascii="Calibri" w:hAnsi="Calibri"/>
          <w:b w:val="0"/>
          <w:i w:val="0"/>
          <w:color w:val="1A1D20"/>
          <w:sz w:val="20"/>
        </w:rPr>
        <w:t>Useful for additions, ADUs, small commercial uses, food businesses, events, churches/nonprofits, tenant fit-outs, and odd zoning questions.</w:t>
      </w:r>
    </w:p>
    <w:p>
      <w:pPr>
        <w:spacing w:before="40" w:after="20" w:line="252" w:lineRule="auto"/>
        <w:jc w:val="left"/>
      </w:pPr>
      <w:r>
        <w:rPr>
          <w:rFonts w:ascii="Calibri" w:hAnsi="Calibri"/>
          <w:b w:val="0"/>
          <w:i w:val="0"/>
          <w:color w:val="1A1D20"/>
          <w:sz w:val="20"/>
        </w:rPr>
        <w:t>Do you know anyone right now who’s stuck, delayed, or unsure where to start? Happy to take a quick look and tell them if it’s even a fit.</w:t>
      </w:r>
    </w:p>
    <w:p>
      <w:pPr>
        <w:spacing w:before="40" w:after="20" w:line="252" w:lineRule="auto"/>
        <w:jc w:val="left"/>
      </w:pPr>
      <w:r>
        <w:rPr>
          <w:rFonts w:ascii="Calibri" w:hAnsi="Calibri"/>
          <w:b w:val="0"/>
          <w:i w:val="0"/>
          <w:color w:val="1A1D20"/>
          <w:sz w:val="20"/>
        </w:rPr>
        <w:t>Best,</w:t>
      </w:r>
    </w:p>
    <w:p>
      <w:pPr>
        <w:spacing w:before="40" w:after="20" w:line="252" w:lineRule="auto"/>
        <w:jc w:val="left"/>
      </w:pPr>
      <w:r>
        <w:rPr>
          <w:rFonts w:ascii="Calibri" w:hAnsi="Calibri"/>
          <w:b w:val="0"/>
          <w:i w:val="0"/>
          <w:color w:val="1A1D20"/>
          <w:sz w:val="20"/>
        </w:rPr>
        <w:t>Nathan Boudreau, MPA / MCPPO</w:t>
      </w:r>
    </w:p>
    <w:p>
      <w:pPr>
        <w:spacing w:before="40" w:after="20" w:line="252" w:lineRule="auto"/>
        <w:jc w:val="left"/>
      </w:pPr>
      <w:r>
        <w:rPr>
          <w:rFonts w:ascii="Calibri" w:hAnsi="Calibri"/>
          <w:b w:val="0"/>
          <w:i w:val="0"/>
          <w:color w:val="1A1D20"/>
          <w:sz w:val="20"/>
        </w:rPr>
        <w:t>PublicLogic · nate@publiclogic.org · 978-807-0829</w:t>
      </w:r>
    </w:p>
    <w:p>
      <w:pPr>
        <w:spacing w:before="180" w:after="40" w:line="254" w:lineRule="auto"/>
        <w:jc w:val="left"/>
      </w:pPr>
      <w:r>
        <w:rPr>
          <w:rFonts w:ascii="Calibri" w:hAnsi="Calibri"/>
          <w:b/>
          <w:i w:val="0"/>
          <w:color w:val="0F4C3A"/>
          <w:sz w:val="22"/>
        </w:rPr>
        <w:t>CALL SCRIPT</w:t>
      </w:r>
    </w:p>
    <w:p>
      <w:pPr>
        <w:spacing w:before="40" w:after="20" w:line="254" w:lineRule="auto"/>
        <w:jc w:val="left"/>
      </w:pPr>
      <w:r>
        <w:rPr>
          <w:rFonts w:ascii="Calibri" w:hAnsi="Calibri"/>
          <w:b/>
          <w:i w:val="0"/>
          <w:color w:val="A9772F"/>
          <w:sz w:val="21"/>
        </w:rPr>
        <w:t>Open — set the frame</w:t>
      </w:r>
    </w:p>
    <w:p>
      <w:pPr>
        <w:spacing w:before="40" w:after="40" w:line="254" w:lineRule="auto"/>
        <w:jc w:val="left"/>
      </w:pPr>
      <w:r>
        <w:rPr>
          <w:rFonts w:ascii="Georgia" w:hAnsi="Georgia"/>
          <w:b w:val="0"/>
          <w:i/>
          <w:color w:val="1A1D20"/>
          <w:sz w:val="21"/>
        </w:rPr>
        <w:t>“This isn’t legal advice and it doesn’t replace the town. I help you stop guessing, understand the likely path, and show up prepared. If it’s simple, I’ll tell you. If it’s messy, I’ll show you where it’s messy.”</w:t>
      </w:r>
    </w:p>
    <w:p>
      <w:pPr>
        <w:spacing w:before="40" w:after="20" w:line="254" w:lineRule="auto"/>
        <w:jc w:val="left"/>
      </w:pPr>
      <w:r>
        <w:rPr>
          <w:rFonts w:ascii="Calibri" w:hAnsi="Calibri"/>
          <w:b/>
          <w:i w:val="0"/>
          <w:color w:val="A9772F"/>
          <w:sz w:val="21"/>
        </w:rPr>
        <w:t>Qualify — five questions</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What are you trying to do?</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Where is the property?</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Have you already talked to anyone — and what did they say?</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Is there a deadline, purchase, lease, contractor, or opening date attached?</w:t>
      </w:r>
    </w:p>
    <w:p>
      <w:pPr>
        <w:spacing w:before="40" w:after="20" w:line="254" w:lineRule="auto"/>
        <w:jc w:val="left"/>
      </w:pPr>
      <w:r>
        <w:rPr>
          <w:rFonts w:ascii="Calibri" w:hAnsi="Calibri"/>
          <w:b/>
          <w:i w:val="0"/>
          <w:color w:val="A9772F"/>
          <w:sz w:val="21"/>
        </w:rPr>
        <w:t xml:space="preserve">—  </w:t>
      </w:r>
      <w:r>
        <w:rPr>
          <w:rFonts w:ascii="Calibri" w:hAnsi="Calibri"/>
          <w:b w:val="0"/>
          <w:i w:val="0"/>
          <w:color w:val="1A1D20"/>
          <w:sz w:val="21"/>
        </w:rPr>
        <w:t>How many boards or properties does this likely touch? (basic vs. complex)</w:t>
      </w:r>
    </w:p>
    <w:p>
      <w:pPr>
        <w:spacing w:before="40" w:after="20" w:line="254" w:lineRule="auto"/>
        <w:jc w:val="left"/>
      </w:pPr>
      <w:r>
        <w:rPr>
          <w:rFonts w:ascii="Calibri" w:hAnsi="Calibri"/>
          <w:b/>
          <w:i w:val="0"/>
          <w:color w:val="A9772F"/>
          <w:sz w:val="21"/>
        </w:rPr>
        <w:t>Close</w:t>
      </w:r>
    </w:p>
    <w:p>
      <w:pPr>
        <w:spacing w:before="40" w:after="20" w:line="254" w:lineRule="auto"/>
        <w:jc w:val="left"/>
      </w:pPr>
      <w:r>
        <w:rPr>
          <w:rFonts w:ascii="Georgia" w:hAnsi="Georgia"/>
          <w:b w:val="0"/>
          <w:i/>
          <w:color w:val="1A1D20"/>
          <w:sz w:val="21"/>
        </w:rPr>
        <w:t>“This is a good fit for a Permit Path Scan. It’s $500, fixed fee. I can turn it around in three business days once I have the address, a project description, and any documents you already have.”</w:t>
      </w:r>
    </w:p>
    <w:p>
      <w:pPr>
        <w:spacing w:before="40" w:after="40" w:line="254" w:lineRule="auto"/>
        <w:jc w:val="left"/>
      </w:pPr>
      <w:r>
        <w:rPr>
          <w:rFonts w:ascii="Calibri" w:hAnsi="Calibri"/>
          <w:b/>
          <w:i w:val="0"/>
          <w:color w:val="8B2A1A"/>
          <w:sz w:val="19"/>
        </w:rPr>
        <w:t xml:space="preserve">If it’s multi-board or multi-property: </w:t>
      </w:r>
      <w:r>
        <w:rPr>
          <w:rFonts w:ascii="Calibri" w:hAnsi="Calibri"/>
          <w:b w:val="0"/>
          <w:i w:val="0"/>
          <w:color w:val="1A1D20"/>
          <w:sz w:val="19"/>
        </w:rPr>
        <w:t>quote the $1,250 Complex Scan — only if E&amp;O is in place.</w:t>
      </w:r>
    </w:p>
    <w:p>
      <w:pPr>
        <w:spacing w:before="180" w:after="40" w:line="254" w:lineRule="auto"/>
        <w:jc w:val="left"/>
      </w:pPr>
      <w:r>
        <w:rPr>
          <w:rFonts w:ascii="Calibri" w:hAnsi="Calibri"/>
          <w:b/>
          <w:i w:val="0"/>
          <w:color w:val="0F4C3A"/>
          <w:sz w:val="22"/>
        </w:rPr>
        <w:t>30-DAY GOAL</w:t>
      </w:r>
    </w:p>
    <w:p>
      <w:pPr>
        <w:spacing w:before="40" w:after="20" w:line="254" w:lineRule="auto"/>
        <w:jc w:val="left"/>
      </w:pPr>
      <w:r>
        <w:rPr>
          <w:rFonts w:ascii="Calibri" w:hAnsi="Calibri"/>
          <w:b/>
          <w:i w:val="0"/>
          <w:color w:val="1A1D20"/>
          <w:sz w:val="21"/>
        </w:rPr>
        <w:t xml:space="preserve">The fastest cash path isn’t convincing towns to buy continuity. </w:t>
      </w:r>
      <w:r>
        <w:rPr>
          <w:rFonts w:ascii="Calibri" w:hAnsi="Calibri"/>
          <w:b w:val="0"/>
          <w:i w:val="0"/>
          <w:color w:val="1A1D20"/>
          <w:sz w:val="21"/>
        </w:rPr>
        <w:t>It’s helping people with real projects stop bleeding time in permitting confusion.</w:t>
      </w:r>
    </w:p>
    <w:tbl>
      <w:tblPr>
        <w:tblW w:type="auto" w:w="0"/>
        <w:jc w:val="center"/>
        <w:tblLayout w:type="fixed"/>
        <w:tblLook w:firstColumn="1" w:firstRow="1" w:lastColumn="0" w:lastRow="0" w:noHBand="0" w:noVBand="1" w:val="04A0"/>
      </w:tblPr>
      <w:tblGrid>
        <w:gridCol w:w="4896"/>
        <w:gridCol w:w="4896"/>
      </w:tblGrid>
      <w:tr>
        <w:tc>
          <w:tcPr>
            <w:tcW w:type="dxa" w:w="5760"/>
            <w:shd w:val="clear" w:fill="1A1D20"/>
          </w:tcPr>
          <w:p>
            <w:r>
              <w:rPr>
                <w:rFonts w:ascii="Calibri" w:hAnsi="Calibri"/>
                <w:b/>
                <w:color w:val="FFFFFF"/>
                <w:sz w:val="19"/>
              </w:rPr>
              <w:t>Scenario</w:t>
            </w:r>
          </w:p>
        </w:tc>
        <w:tc>
          <w:tcPr>
            <w:tcW w:type="dxa" w:w="2880"/>
            <w:shd w:val="clear" w:fill="1A1D20"/>
          </w:tcPr>
          <w:p>
            <w:r>
              <w:rPr>
                <w:rFonts w:ascii="Calibri" w:hAnsi="Calibri"/>
                <w:b/>
                <w:color w:val="FFFFFF"/>
                <w:sz w:val="19"/>
              </w:rPr>
              <w:t>Cash</w:t>
            </w:r>
          </w:p>
        </w:tc>
      </w:tr>
      <w:tr>
        <w:tc>
          <w:tcPr>
            <w:tcW w:type="dxa" w:w="5760"/>
          </w:tcPr>
          <w:p>
            <w:r>
              <w:rPr>
                <w:rFonts w:ascii="Calibri" w:hAnsi="Calibri"/>
                <w:b/>
                <w:color w:val="1A1D20"/>
                <w:sz w:val="20"/>
              </w:rPr>
              <w:t>6 scans × $500</w:t>
            </w:r>
          </w:p>
        </w:tc>
        <w:tc>
          <w:tcPr>
            <w:tcW w:type="dxa" w:w="2880"/>
          </w:tcPr>
          <w:p>
            <w:r>
              <w:rPr>
                <w:rFonts w:ascii="Calibri" w:hAnsi="Calibri"/>
                <w:color w:val="1A1D20"/>
                <w:sz w:val="20"/>
              </w:rPr>
              <w:t>$3,000</w:t>
            </w:r>
          </w:p>
        </w:tc>
      </w:tr>
      <w:tr>
        <w:tc>
          <w:tcPr>
            <w:tcW w:type="dxa" w:w="5760"/>
          </w:tcPr>
          <w:p>
            <w:r>
              <w:rPr>
                <w:rFonts w:ascii="Calibri" w:hAnsi="Calibri"/>
                <w:b/>
                <w:color w:val="1A1D20"/>
                <w:sz w:val="20"/>
              </w:rPr>
              <w:t>10 scans × $500</w:t>
            </w:r>
          </w:p>
        </w:tc>
        <w:tc>
          <w:tcPr>
            <w:tcW w:type="dxa" w:w="2880"/>
          </w:tcPr>
          <w:p>
            <w:r>
              <w:rPr>
                <w:rFonts w:ascii="Calibri" w:hAnsi="Calibri"/>
                <w:color w:val="1A1D20"/>
                <w:sz w:val="20"/>
              </w:rPr>
              <w:t>$5,000</w:t>
            </w:r>
          </w:p>
        </w:tc>
      </w:tr>
      <w:tr>
        <w:tc>
          <w:tcPr>
            <w:tcW w:type="dxa" w:w="5760"/>
          </w:tcPr>
          <w:p>
            <w:r>
              <w:rPr>
                <w:rFonts w:ascii="Calibri" w:hAnsi="Calibri"/>
                <w:b/>
                <w:color w:val="1A1D20"/>
                <w:sz w:val="20"/>
              </w:rPr>
              <w:t>8 scans + 2 complex</w:t>
            </w:r>
          </w:p>
        </w:tc>
        <w:tc>
          <w:tcPr>
            <w:tcW w:type="dxa" w:w="2880"/>
          </w:tcPr>
          <w:p>
            <w:r>
              <w:rPr>
                <w:rFonts w:ascii="Calibri" w:hAnsi="Calibri"/>
                <w:color w:val="1A1D20"/>
                <w:sz w:val="20"/>
              </w:rPr>
              <w:t>$6,500+</w:t>
            </w:r>
          </w:p>
        </w:tc>
      </w:tr>
    </w:tbl>
    <w:p>
      <w:pPr>
        <w:spacing w:before="180" w:after="40" w:line="254" w:lineRule="auto"/>
        <w:jc w:val="left"/>
      </w:pPr>
      <w:r>
        <w:rPr>
          <w:rFonts w:ascii="Calibri" w:hAnsi="Calibri"/>
          <w:b/>
          <w:i w:val="0"/>
          <w:color w:val="0F4C3A"/>
          <w:sz w:val="22"/>
        </w:rPr>
        <w:t>FOR 30 DAYS — PAUSE vs. LEAD WITH</w:t>
      </w:r>
    </w:p>
    <w:tbl>
      <w:tblPr>
        <w:tblW w:type="auto" w:w="0"/>
        <w:jc w:val="center"/>
        <w:tblLayout w:type="fixed"/>
        <w:tblLook w:firstColumn="1" w:firstRow="1" w:lastColumn="0" w:lastRow="0" w:noHBand="0" w:noVBand="1" w:val="04A0"/>
      </w:tblPr>
      <w:tblGrid>
        <w:gridCol w:w="4896"/>
        <w:gridCol w:w="4896"/>
      </w:tblGrid>
      <w:tr>
        <w:tc>
          <w:tcPr>
            <w:tcW w:type="dxa" w:w="4320"/>
            <w:shd w:val="clear" w:fill="1A1D20"/>
          </w:tcPr>
          <w:p>
            <w:r>
              <w:rPr>
                <w:rFonts w:ascii="Calibri" w:hAnsi="Calibri"/>
                <w:b/>
                <w:color w:val="FFFFFF"/>
                <w:sz w:val="19"/>
              </w:rPr>
              <w:t>Pause as the lead</w:t>
            </w:r>
          </w:p>
        </w:tc>
        <w:tc>
          <w:tcPr>
            <w:tcW w:type="dxa" w:w="4320"/>
            <w:shd w:val="clear" w:fill="1A1D20"/>
          </w:tcPr>
          <w:p>
            <w:r>
              <w:rPr>
                <w:rFonts w:ascii="Calibri" w:hAnsi="Calibri"/>
                <w:b/>
                <w:color w:val="FFFFFF"/>
                <w:sz w:val="19"/>
              </w:rPr>
              <w:t>Lead with instead</w:t>
            </w:r>
          </w:p>
        </w:tc>
      </w:tr>
      <w:tr>
        <w:tc>
          <w:tcPr>
            <w:tcW w:type="dxa" w:w="4320"/>
          </w:tcPr>
          <w:p>
            <w:r>
              <w:rPr>
                <w:rFonts w:ascii="Calibri" w:hAnsi="Calibri"/>
                <w:b/>
                <w:color w:val="1A1D20"/>
                <w:sz w:val="20"/>
              </w:rPr>
              <w:t>Stewardship Map as the opening offer</w:t>
            </w:r>
          </w:p>
        </w:tc>
        <w:tc>
          <w:tcPr>
            <w:tcW w:type="dxa" w:w="4320"/>
          </w:tcPr>
          <w:p>
            <w:r>
              <w:rPr>
                <w:rFonts w:ascii="Calibri" w:hAnsi="Calibri"/>
                <w:color w:val="1A1D20"/>
                <w:sz w:val="20"/>
              </w:rPr>
              <w:t>$500 Permit Path Scan</w:t>
            </w:r>
          </w:p>
        </w:tc>
      </w:tr>
      <w:tr>
        <w:tc>
          <w:tcPr>
            <w:tcW w:type="dxa" w:w="4320"/>
          </w:tcPr>
          <w:p>
            <w:r>
              <w:rPr>
                <w:rFonts w:ascii="Calibri" w:hAnsi="Calibri"/>
                <w:b/>
                <w:color w:val="1A1D20"/>
                <w:sz w:val="20"/>
              </w:rPr>
              <w:t>Municipal cold outreach as the main path</w:t>
            </w:r>
          </w:p>
        </w:tc>
        <w:tc>
          <w:tcPr>
            <w:tcW w:type="dxa" w:w="4320"/>
          </w:tcPr>
          <w:p>
            <w:r>
              <w:rPr>
                <w:rFonts w:ascii="Calibri" w:hAnsi="Calibri"/>
                <w:color w:val="1A1D20"/>
                <w:sz w:val="20"/>
              </w:rPr>
              <w:t>Network as referral engine → private buyers</w:t>
            </w:r>
          </w:p>
        </w:tc>
      </w:tr>
      <w:tr>
        <w:tc>
          <w:tcPr>
            <w:tcW w:type="dxa" w:w="4320"/>
          </w:tcPr>
          <w:p>
            <w:r>
              <w:rPr>
                <w:rFonts w:ascii="Calibri" w:hAnsi="Calibri"/>
                <w:b/>
                <w:color w:val="1A1D20"/>
                <w:sz w:val="20"/>
              </w:rPr>
              <w:t>Abstract “institutional stewardship” language</w:t>
            </w:r>
          </w:p>
        </w:tc>
        <w:tc>
          <w:tcPr>
            <w:tcW w:type="dxa" w:w="4320"/>
          </w:tcPr>
          <w:p>
            <w:r>
              <w:rPr>
                <w:rFonts w:ascii="Calibri" w:hAnsi="Calibri"/>
                <w:color w:val="1A1D20"/>
                <w:sz w:val="20"/>
              </w:rPr>
              <w:t>“Stop guessing before you spend money.”</w:t>
            </w:r>
          </w:p>
        </w:tc>
      </w:tr>
      <w:tr>
        <w:tc>
          <w:tcPr>
            <w:tcW w:type="dxa" w:w="4320"/>
          </w:tcPr>
          <w:p>
            <w:r>
              <w:rPr>
                <w:rFonts w:ascii="Calibri" w:hAnsi="Calibri"/>
                <w:b/>
                <w:color w:val="1A1D20"/>
                <w:sz w:val="20"/>
              </w:rPr>
              <w:t>Long decks</w:t>
            </w:r>
          </w:p>
        </w:tc>
        <w:tc>
          <w:tcPr>
            <w:tcW w:type="dxa" w:w="4320"/>
          </w:tcPr>
          <w:p>
            <w:r>
              <w:rPr>
                <w:rFonts w:ascii="Calibri" w:hAnsi="Calibri"/>
                <w:color w:val="1A1D20"/>
                <w:sz w:val="20"/>
              </w:rPr>
              <w:t>One email, one call, one memo</w:t>
            </w:r>
          </w:p>
        </w:tc>
      </w:tr>
    </w:tbl>
    <w:p>
      <w:pPr>
        <w:spacing w:before="180" w:after="40" w:line="254" w:lineRule="auto"/>
        <w:jc w:val="left"/>
      </w:pPr>
      <w:r>
        <w:rPr>
          <w:rFonts w:ascii="Calibri" w:hAnsi="Calibri"/>
          <w:b/>
          <w:i w:val="0"/>
          <w:color w:val="0F4C3A"/>
          <w:sz w:val="22"/>
        </w:rPr>
        <w:t>THE BRAND RING-FENCE</w:t>
      </w:r>
    </w:p>
    <w:p>
      <w:pPr>
        <w:spacing w:before="40" w:after="80" w:line="254" w:lineRule="auto"/>
        <w:jc w:val="left"/>
      </w:pPr>
      <w:r>
        <w:rPr>
          <w:rFonts w:ascii="Calibri" w:hAnsi="Calibri"/>
          <w:b w:val="0"/>
          <w:i w:val="0"/>
          <w:color w:val="1A1D20"/>
          <w:sz w:val="21"/>
        </w:rPr>
        <w:t xml:space="preserve">You don’t pause PublicLogic — you route the scan through LogicCommons / Permit &amp; Bridge, the layer built for public-facing transactional work. Same cash, no brand cost. </w:t>
      </w:r>
      <w:r>
        <w:rPr>
          <w:rFonts w:ascii="Calibri" w:hAnsi="Calibri"/>
          <w:b/>
          <w:i/>
          <w:color w:val="0F4C3A"/>
          <w:sz w:val="21"/>
        </w:rPr>
        <w:t>Stewardship stays intact for the municipal sale later; the Scan is the wedge and the proof, not the ceiling.</w:t>
      </w:r>
    </w:p>
    <w:p>
      <w:pPr>
        <w:spacing w:before="80" w:after="0" w:line="254" w:lineRule="auto"/>
        <w:jc w:val="center"/>
      </w:pPr>
      <w:r>
        <w:rPr>
          <w:rFonts w:ascii="Calibri" w:hAnsi="Calibri"/>
          <w:b w:val="0"/>
          <w:i w:val="0"/>
          <w:color w:val="6B6660"/>
          <w:sz w:val="17"/>
        </w:rPr>
        <w:t>PublicLogic LLC  ·  Nathan Boudreau, MPA / MCPPO  ·  LogicCommons / Permit &amp; Bridge  ·  Private &amp; Confidential</w:t>
      </w:r>
    </w:p>
    <w:sectPr w:rsidR="00FC693F" w:rsidRPr="0006063C" w:rsidSect="00034616">
      <w:pgSz w:w="12240" w:h="15840"/>
      <w:pgMar w:top="864" w:right="1224" w:bottom="79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