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4" w:lineRule="auto"/>
        <w:jc w:val="left"/>
      </w:pPr>
      <w:r>
        <w:rPr>
          <w:rFonts w:ascii="Calibri" w:hAnsi="Calibri"/>
          <w:b/>
          <w:i w:val="0"/>
          <w:color w:val="A9772F"/>
          <w:sz w:val="20"/>
        </w:rPr>
        <w:t>PUBLICLOGIC  ·  v1</w:t>
      </w:r>
    </w:p>
    <w:p>
      <w:pPr>
        <w:spacing w:before="0" w:after="0" w:line="254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Start Here &amp; Go-Live Checklist</w:t>
      </w:r>
    </w:p>
    <w:p>
      <w:pPr>
        <w:spacing w:before="20" w:after="100" w:line="254" w:lineRule="auto"/>
        <w:jc w:val="left"/>
      </w:pPr>
      <w:r>
        <w:rPr>
          <w:rFonts w:ascii="Calibri" w:hAnsi="Calibri"/>
          <w:b w:val="0"/>
          <w:i/>
          <w:color w:val="0F4C3A"/>
          <w:sz w:val="20"/>
        </w:rPr>
        <w:t>The front page of the package. What's inside, what to send whom, and how to go live this week.  ·  June 2026  ·  Private &amp; Confidential.</w:t>
      </w:r>
    </w:p>
    <w:p>
      <w:pPr>
        <w:spacing w:before="40" w:after="80" w:line="254" w:lineRule="auto"/>
      </w:pPr>
      <w:r>
        <w:rPr>
          <w:rFonts w:ascii="Calibri" w:hAnsi="Calibri"/>
          <w:b/>
          <w:i w:val="0"/>
          <w:color w:val="0F4C3A"/>
          <w:sz w:val="24"/>
        </w:rPr>
        <w:t xml:space="preserve">The one line:  </w:t>
      </w:r>
      <w:r>
        <w:rPr>
          <w:rFonts w:ascii="Georgia" w:hAnsi="Georgia"/>
          <w:b w:val="0"/>
          <w:i/>
          <w:color w:val="1A1D20"/>
          <w:sz w:val="24"/>
        </w:rPr>
        <w:t>Help people understand the path. Help projects move through the path. Leave the path easier for the next person.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2"/>
        </w:rPr>
        <w:t>WHAT'S IN THIS PACKAGE (13 documents)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752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5040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 it to…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Capabilities Workbook v2.0 (.xlsx)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Run the business. Internal strategy, 12 tabs. Start here.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Move Forward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Brief Allie / a partner in two pages.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The Path — one-page visual (.pptx)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Show the whole model in one picture.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One Pager (.pptx)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Send a fast overview.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Capabilities &amp; Positioning deck (.pptx)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Walk a meeting through the story.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Stewardship Map — Scope &amp; Fee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Sell the $2,500–$7,500 entry diagnostic.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Permit Path Scan — Scope &amp; Fee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Sell the $500 flat triage.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Permit &amp; Bridge Sprint — Scope &amp; Fee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Sell the $7,500–$15,000 navigation sprint.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Permit Path Scan — 30-Day Cash Offer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Generate cash this month (the run book).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LogicCommons — Can I Do This?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Hand out free; it feeds the Scan.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Five Outreach Emails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Start conversations with warm contacts.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Proof &amp; Case Example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Turn each engagement into a quantified case.</w:t>
            </w:r>
          </w:p>
        </w:tc>
      </w:tr>
      <w:tr>
        <w:tc>
          <w:tcPr>
            <w:tcW w:type="dxa" w:w="4752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Website Copy (.docx)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color w:val="1A1D20"/>
                <w:sz w:val="20"/>
              </w:rPr>
              <w:t>Reference for the live site (already built in apps/web).</w:t>
            </w:r>
          </w:p>
        </w:tc>
      </w:tr>
    </w:tbl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2"/>
        </w:rPr>
        <w:t>WHAT TO SEND WHOM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464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When someone is…</w:t>
            </w:r>
          </w:p>
        </w:tc>
        <w:tc>
          <w:tcPr>
            <w:tcW w:type="dxa" w:w="532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Send / sell</w:t>
            </w:r>
          </w:p>
        </w:tc>
      </w:tr>
      <w:tr>
        <w:tc>
          <w:tcPr>
            <w:tcW w:type="dxa" w:w="446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A resident or owner stuck on a permit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color w:val="1A1D20"/>
                <w:sz w:val="20"/>
              </w:rPr>
              <w:t>The free “Can I Do This?” worksheet → then a $500 Permit Path Scan.</w:t>
            </w:r>
          </w:p>
        </w:tc>
      </w:tr>
      <w:tr>
        <w:tc>
          <w:tcPr>
            <w:tcW w:type="dxa" w:w="446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A warm municipal contact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color w:val="1A1D20"/>
                <w:sz w:val="20"/>
              </w:rPr>
              <w:t>The Stewardship Map Scope &amp; Fee sheet ($2,500–$7,500).</w:t>
            </w:r>
          </w:p>
        </w:tc>
      </w:tr>
      <w:tr>
        <w:tc>
          <w:tcPr>
            <w:tcW w:type="dxa" w:w="446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A developer / sponsor with a stuck project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color w:val="1A1D20"/>
                <w:sz w:val="20"/>
              </w:rPr>
              <w:t>The Permit &amp; Bridge Sprint Scope &amp; Fee sheet.</w:t>
            </w:r>
          </w:p>
        </w:tc>
      </w:tr>
      <w:tr>
        <w:tc>
          <w:tcPr>
            <w:tcW w:type="dxa" w:w="446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Anyone in your network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color w:val="1A1D20"/>
                <w:sz w:val="20"/>
              </w:rPr>
              <w:t>One of the Five Outreach Emails — ask for one conversation.</w:t>
            </w:r>
          </w:p>
        </w:tc>
      </w:tr>
      <w:tr>
        <w:tc>
          <w:tcPr>
            <w:tcW w:type="dxa" w:w="446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A closed engagement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color w:val="1A1D20"/>
                <w:sz w:val="20"/>
              </w:rPr>
              <w:t>Fill in the Proof &amp; Case Example before you forget the numbers.</w:t>
            </w:r>
          </w:p>
        </w:tc>
      </w:tr>
    </w:tbl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2"/>
        </w:rPr>
        <w:t>GO LIVE THIS WEEK — CHECKLIST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Domain &amp; email: confirm publiclogic.org; stand up the nate@publiclogic.org mailbox.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Deploy the site: apps/web (Next.js 15). It builds clean — deploy to Vercel and point the domain at it.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Wire the contact form: set CONTACT_TO = nate@publiclogic.org plus either RESEND_API_KEY + CONTACT_FROM (a verified sender) OR CONTACT_WEBHOOK_URL. Until then, submissions are saved to the server log. (See ENV_REFERENCE.md.)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Confirm the worksheet downloads: /logiccommons/can-i-do-this (Download .docx + Print / Save as PDF).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Pricing is locked: Permit Path Scan $500 flat · Rush $750 · Complex $1,250 (E&amp;O) · Follow-up $150 · Stewardship Map $2,500–$7,500.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8B2A1A"/>
          <w:sz w:val="19"/>
        </w:rPr>
        <w:t xml:space="preserve">E&amp;O before the $1,250 tier: </w:t>
      </w:r>
      <w:r>
        <w:rPr>
          <w:rFonts w:ascii="Calibri" w:hAnsi="Calibri"/>
          <w:b w:val="0"/>
          <w:i/>
          <w:color w:val="1A1D20"/>
          <w:sz w:val="19"/>
        </w:rPr>
        <w:t>confirm professional-liability coverage before taking a developer's complex scan, and keep every scan in “likely / probably.”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Start selling: send the five outreach emails and run the 30-Day Cash Offer — mine the network as a referral engine, not a cold list.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2"/>
        </w:rPr>
        <w:t>THE 30-DAY MONEY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84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880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Cash</w:t>
            </w:r>
          </w:p>
        </w:tc>
      </w:tr>
      <w:tr>
        <w:tc>
          <w:tcPr>
            <w:tcW w:type="dxa" w:w="518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6 scans × $500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1A1D20"/>
                <w:sz w:val="20"/>
              </w:rPr>
              <w:t>$3,000</w:t>
            </w:r>
          </w:p>
        </w:tc>
      </w:tr>
      <w:tr>
        <w:tc>
          <w:tcPr>
            <w:tcW w:type="dxa" w:w="518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10 scans × $500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1A1D20"/>
                <w:sz w:val="20"/>
              </w:rPr>
              <w:t>$5,000</w:t>
            </w:r>
          </w:p>
        </w:tc>
      </w:tr>
      <w:tr>
        <w:tc>
          <w:tcPr>
            <w:tcW w:type="dxa" w:w="5184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8 scans + 2 complex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1A1D20"/>
                <w:sz w:val="20"/>
              </w:rPr>
              <w:t>$6,500+</w:t>
            </w:r>
          </w:p>
        </w:tc>
      </w:tr>
    </w:tbl>
    <w:p>
      <w:pPr>
        <w:spacing w:before="40" w:after="80" w:line="254" w:lineRule="auto"/>
      </w:pPr>
      <w:r>
        <w:rPr>
          <w:rFonts w:ascii="Calibri" w:hAnsi="Calibri"/>
          <w:b/>
          <w:i w:val="0"/>
          <w:color w:val="1A1D20"/>
          <w:sz w:val="20"/>
        </w:rPr>
        <w:t xml:space="preserve">The fastest cash path isn't convincing towns to buy continuity. </w:t>
      </w:r>
      <w:r>
        <w:rPr>
          <w:rFonts w:ascii="Calibri" w:hAnsi="Calibri"/>
          <w:b w:val="0"/>
          <w:i/>
          <w:color w:val="0F4C3A"/>
          <w:sz w:val="20"/>
        </w:rPr>
        <w:t>It's helping people with real projects stop bleeding time in permitting confusion. The Scan is the wedge and the proof — not the ceiling.</w:t>
      </w:r>
    </w:p>
    <w:p>
      <w:pPr>
        <w:spacing w:before="80" w:after="0" w:line="254" w:lineRule="auto"/>
        <w:jc w:val="center"/>
      </w:pPr>
      <w:r>
        <w:rPr>
          <w:rFonts w:ascii="Calibri" w:hAnsi="Calibri"/>
          <w:b w:val="0"/>
          <w:i w:val="0"/>
          <w:color w:val="6B6660"/>
          <w:sz w:val="17"/>
        </w:rPr>
        <w:t>PublicLogic LLC  ·  Nathan Boudreau, MPA / MCPPO  ·  Dr. Allison Weiss Rothschild  ·  nate@publiclogic.org  ·  978-807-0829  ·  Private &amp; Confidential</w:t>
      </w:r>
    </w:p>
    <w:sectPr w:rsidR="00FC693F" w:rsidRPr="0006063C" w:rsidSect="00034616">
      <w:pgSz w:w="12240" w:h="15840"/>
      <w:pgMar w:top="864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