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jc w:val="left"/>
      </w:pPr>
      <w:r>
        <w:rPr>
          <w:rFonts w:ascii="Calibri" w:hAnsi="Calibri"/>
          <w:b/>
          <w:i w:val="0"/>
          <w:color w:val="A9772F"/>
          <w:sz w:val="22"/>
        </w:rPr>
        <w:t>PUBLICLOGIC</w:t>
      </w:r>
    </w:p>
    <w:p>
      <w:pPr>
        <w:spacing w:before="0" w:after="0" w:line="252" w:lineRule="auto"/>
        <w:jc w:val="left"/>
      </w:pPr>
      <w:r>
        <w:rPr>
          <w:rFonts w:ascii="Georgia" w:hAnsi="Georgia"/>
          <w:b/>
          <w:i w:val="0"/>
          <w:color w:val="1A1D20"/>
          <w:sz w:val="48"/>
        </w:rPr>
        <w:t>Stewardship Map</w:t>
      </w:r>
    </w:p>
    <w:p>
      <w:pPr>
        <w:spacing w:before="20" w:after="120" w:line="252" w:lineRule="auto"/>
        <w:jc w:val="left"/>
      </w:pPr>
      <w:r>
        <w:rPr>
          <w:rFonts w:ascii="Calibri" w:hAnsi="Calibri"/>
          <w:b w:val="0"/>
          <w:i/>
          <w:color w:val="0F4C3A"/>
          <w:sz w:val="22"/>
        </w:rPr>
        <w:t>Scope &amp; Fee Sheet  ·  The safe first engagement</w:t>
      </w:r>
    </w:p>
    <w:p>
      <w:pPr>
        <w:spacing w:before="40" w:after="20" w:line="252" w:lineRule="auto"/>
        <w:jc w:val="left"/>
      </w:pPr>
      <w:r>
        <w:rPr>
          <w:rFonts w:ascii="Calibri" w:hAnsi="Calibri"/>
          <w:b/>
          <w:i w:val="0"/>
          <w:color w:val="0F4C3A"/>
          <w:sz w:val="20"/>
        </w:rPr>
        <w:t>WHAT IT IS</w:t>
      </w:r>
    </w:p>
    <w:p>
      <w:pPr>
        <w:spacing w:before="40" w:after="120" w:line="252" w:lineRule="auto"/>
        <w:jc w:val="left"/>
      </w:pPr>
      <w:r>
        <w:rPr>
          <w:rFonts w:ascii="Calibri" w:hAnsi="Calibri"/>
          <w:b w:val="0"/>
          <w:i w:val="0"/>
          <w:color w:val="1A1D20"/>
          <w:sz w:val="21"/>
        </w:rPr>
        <w:t>Before anyone commits real money to a project, a build, or a hire, the Stewardship Map shows how work, knowledge, authority, records, and risk actually move through your organization — and where the next person would get stuck. It is a focused, fixed-fee diagnostic. It is the safest way to start working together, because it tells both of us exactly what should come next.</w:t>
      </w:r>
    </w:p>
    <w:p>
      <w:pPr>
        <w:spacing w:before="40" w:after="20" w:line="252" w:lineRule="auto"/>
        <w:jc w:val="left"/>
      </w:pPr>
      <w:r>
        <w:rPr>
          <w:rFonts w:ascii="Calibri" w:hAnsi="Calibri"/>
          <w:b/>
          <w:i w:val="0"/>
          <w:color w:val="0F4C3A"/>
          <w:sz w:val="20"/>
        </w:rPr>
        <w:t>WHAT WE LOOK AT</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How the work actually flows — not the org chart, the real path.</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Where knowledge lives, and what leaves the building when a person does.</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Who holds authority, and where decisions stall or bottleneck.</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How records are kept, and whether a claim or number can be traced to a source.</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Where funding, permitting, or projects are exposed to a single point of failure.</w:t>
      </w:r>
    </w:p>
    <w:p>
      <w:pPr>
        <w:spacing w:before="120" w:after="40" w:line="252" w:lineRule="auto"/>
        <w:jc w:val="left"/>
      </w:pPr>
      <w:r>
        <w:rPr>
          <w:rFonts w:ascii="Calibri" w:hAnsi="Calibri"/>
          <w:b/>
          <w:i w:val="0"/>
          <w:color w:val="0F4C3A"/>
          <w:sz w:val="20"/>
        </w:rPr>
        <w:t>WHAT YOU GET</w:t>
      </w:r>
    </w:p>
    <w:tbl>
      <w:tblPr>
        <w:tblW w:type="auto" w:w="0"/>
        <w:jc w:val="center"/>
        <w:tblLayout w:type="fixed"/>
        <w:tblLook w:firstColumn="1" w:firstRow="1" w:lastColumn="0" w:lastRow="0" w:noHBand="0" w:noVBand="1" w:val="04A0"/>
      </w:tblPr>
      <w:tblGrid>
        <w:gridCol w:w="4968"/>
        <w:gridCol w:w="4968"/>
      </w:tblGrid>
      <w:tr>
        <w:tc>
          <w:tcPr>
            <w:tcW w:type="dxa" w:w="2736"/>
            <w:shd w:val="clear" w:fill="0F4C3A"/>
          </w:tcPr>
          <w:p>
            <w:r>
              <w:rPr>
                <w:rFonts w:ascii="Calibri" w:hAnsi="Calibri"/>
                <w:b/>
                <w:color w:val="FFFFFF"/>
                <w:sz w:val="20"/>
              </w:rPr>
              <w:t>Stewardship Map</w:t>
            </w:r>
          </w:p>
        </w:tc>
        <w:tc>
          <w:tcPr>
            <w:tcW w:type="dxa" w:w="7200"/>
          </w:tcPr>
          <w:p>
            <w:r>
              <w:rPr>
                <w:rFonts w:ascii="Calibri" w:hAnsi="Calibri"/>
                <w:color w:val="1A1D20"/>
                <w:sz w:val="20"/>
              </w:rPr>
              <w:t>A clear picture of how work, knowledge, authority, and risk move today.</w:t>
            </w:r>
          </w:p>
        </w:tc>
      </w:tr>
      <w:tr>
        <w:tc>
          <w:tcPr>
            <w:tcW w:type="dxa" w:w="2736"/>
            <w:shd w:val="clear" w:fill="0F4C3A"/>
          </w:tcPr>
          <w:p>
            <w:r>
              <w:rPr>
                <w:rFonts w:ascii="Calibri" w:hAnsi="Calibri"/>
                <w:b/>
                <w:color w:val="FFFFFF"/>
                <w:sz w:val="20"/>
              </w:rPr>
              <w:t>Continuity Risks</w:t>
            </w:r>
          </w:p>
        </w:tc>
        <w:tc>
          <w:tcPr>
            <w:tcW w:type="dxa" w:w="7200"/>
          </w:tcPr>
          <w:p>
            <w:r>
              <w:rPr>
                <w:rFonts w:ascii="Calibri" w:hAnsi="Calibri"/>
                <w:color w:val="1A1D20"/>
                <w:sz w:val="20"/>
              </w:rPr>
              <w:t>The points where turnover or a gap would actually break something.</w:t>
            </w:r>
          </w:p>
        </w:tc>
      </w:tr>
      <w:tr>
        <w:tc>
          <w:tcPr>
            <w:tcW w:type="dxa" w:w="2736"/>
            <w:shd w:val="clear" w:fill="0F4C3A"/>
          </w:tcPr>
          <w:p>
            <w:r>
              <w:rPr>
                <w:rFonts w:ascii="Calibri" w:hAnsi="Calibri"/>
                <w:b/>
                <w:color w:val="FFFFFF"/>
                <w:sz w:val="20"/>
              </w:rPr>
              <w:t>Readiness Findings</w:t>
            </w:r>
          </w:p>
        </w:tc>
        <w:tc>
          <w:tcPr>
            <w:tcW w:type="dxa" w:w="7200"/>
          </w:tcPr>
          <w:p>
            <w:r>
              <w:rPr>
                <w:rFonts w:ascii="Calibri" w:hAnsi="Calibri"/>
                <w:color w:val="1A1D20"/>
                <w:sz w:val="20"/>
              </w:rPr>
              <w:t>An honest read on what your organization can absorb and sustain right now.</w:t>
            </w:r>
          </w:p>
        </w:tc>
      </w:tr>
      <w:tr>
        <w:tc>
          <w:tcPr>
            <w:tcW w:type="dxa" w:w="2736"/>
            <w:shd w:val="clear" w:fill="0F4C3A"/>
          </w:tcPr>
          <w:p>
            <w:r>
              <w:rPr>
                <w:rFonts w:ascii="Calibri" w:hAnsi="Calibri"/>
                <w:b/>
                <w:color w:val="FFFFFF"/>
                <w:sz w:val="20"/>
              </w:rPr>
              <w:t>Priority Roadmap</w:t>
            </w:r>
          </w:p>
        </w:tc>
        <w:tc>
          <w:tcPr>
            <w:tcW w:type="dxa" w:w="7200"/>
          </w:tcPr>
          <w:p>
            <w:r>
              <w:rPr>
                <w:rFonts w:ascii="Calibri" w:hAnsi="Calibri"/>
                <w:color w:val="1A1D20"/>
                <w:sz w:val="20"/>
              </w:rPr>
              <w:t>A short, sequenced list of the next moves — with what each one is worth.</w:t>
            </w:r>
          </w:p>
        </w:tc>
      </w:tr>
      <w:tr>
        <w:tc>
          <w:tcPr>
            <w:tcW w:type="dxa" w:w="2736"/>
            <w:shd w:val="clear" w:fill="0F4C3A"/>
          </w:tcPr>
          <w:p>
            <w:r>
              <w:rPr>
                <w:rFonts w:ascii="Calibri" w:hAnsi="Calibri"/>
                <w:b/>
                <w:color w:val="FFFFFF"/>
                <w:sz w:val="20"/>
              </w:rPr>
              <w:t>Recommended Next Step</w:t>
            </w:r>
          </w:p>
        </w:tc>
        <w:tc>
          <w:tcPr>
            <w:tcW w:type="dxa" w:w="7200"/>
          </w:tcPr>
          <w:p>
            <w:r>
              <w:rPr>
                <w:rFonts w:ascii="Calibri" w:hAnsi="Calibri"/>
                <w:color w:val="1A1D20"/>
                <w:sz w:val="20"/>
              </w:rPr>
              <w:t>Our honest read on the single best next move — or whether there isn't one yet.</w:t>
            </w:r>
          </w:p>
        </w:tc>
      </w:tr>
    </w:tbl>
    <w:p>
      <w:pPr>
        <w:spacing w:before="160" w:after="20" w:line="252" w:lineRule="auto"/>
        <w:jc w:val="left"/>
      </w:pPr>
      <w:r>
        <w:rPr>
          <w:rFonts w:ascii="Calibri" w:hAnsi="Calibri"/>
          <w:b/>
          <w:i w:val="0"/>
          <w:color w:val="0F4C3A"/>
          <w:sz w:val="20"/>
        </w:rPr>
        <w:t>FEE</w:t>
      </w:r>
    </w:p>
    <w:p>
      <w:pPr>
        <w:spacing w:before="40" w:after="20" w:line="252" w:lineRule="auto"/>
        <w:jc w:val="left"/>
      </w:pPr>
      <w:r>
        <w:rPr>
          <w:rFonts w:ascii="Georgia" w:hAnsi="Georgia"/>
          <w:b/>
          <w:i w:val="0"/>
          <w:color w:val="1A1D20"/>
          <w:sz w:val="24"/>
        </w:rPr>
        <w:t>$2,500 – $7,500</w:t>
      </w:r>
      <w:r>
        <w:rPr>
          <w:rFonts w:ascii="Calibri" w:hAnsi="Calibri"/>
          <w:b w:val="0"/>
          <w:i/>
          <w:color w:val="6B6660"/>
          <w:sz w:val="24"/>
        </w:rPr>
        <w:t xml:space="preserve">   fixed fee, scoped to the size of the organization and the question.</w:t>
      </w:r>
    </w:p>
    <w:p>
      <w:pPr>
        <w:spacing w:before="40" w:after="20" w:line="252" w:lineRule="auto"/>
        <w:jc w:val="left"/>
      </w:pPr>
      <w:r>
        <w:rPr>
          <w:rFonts w:ascii="Calibri" w:hAnsi="Calibri"/>
          <w:b w:val="0"/>
          <w:i/>
          <w:color w:val="6B6660"/>
          <w:sz w:val="19"/>
        </w:rPr>
        <w:t>Typical engagement: 2–4 weeks. Fixed-fee and non-contingent — our fee never depends on a funding outcome or a decision going a particular way.</w:t>
      </w:r>
    </w:p>
    <w:p>
      <w:pPr>
        <w:spacing w:before="40" w:after="120" w:line="252" w:lineRule="auto"/>
        <w:jc w:val="left"/>
      </w:pPr>
      <w:r>
        <w:rPr>
          <w:rFonts w:ascii="Calibri" w:hAnsi="Calibri"/>
          <w:b/>
          <w:i w:val="0"/>
          <w:color w:val="0F4C3A"/>
          <w:sz w:val="19"/>
        </w:rPr>
        <w:t xml:space="preserve">Credit policy:  </w:t>
      </w:r>
      <w:r>
        <w:rPr>
          <w:rFonts w:ascii="Calibri" w:hAnsi="Calibri"/>
          <w:b w:val="0"/>
          <w:i/>
          <w:color w:val="6B6660"/>
          <w:sz w:val="19"/>
        </w:rPr>
        <w:t>if you continue, the Map fee credits toward the next engagement. Credits don't stack — up to one tier's fee credits forward, so you never pay twice for the same step.</w:t>
      </w:r>
    </w:p>
    <w:p>
      <w:pPr>
        <w:spacing w:before="40" w:after="20" w:line="252" w:lineRule="auto"/>
        <w:jc w:val="left"/>
      </w:pPr>
      <w:r>
        <w:rPr>
          <w:rFonts w:ascii="Calibri" w:hAnsi="Calibri"/>
          <w:b/>
          <w:i w:val="0"/>
          <w:color w:val="0F4C3A"/>
          <w:sz w:val="20"/>
        </w:rPr>
        <w:t>WHY START HERE</w:t>
      </w:r>
    </w:p>
    <w:p>
      <w:pPr>
        <w:spacing w:before="40" w:after="120" w:line="252" w:lineRule="auto"/>
        <w:jc w:val="left"/>
      </w:pPr>
      <w:r>
        <w:rPr>
          <w:rFonts w:ascii="Calibri" w:hAnsi="Calibri"/>
          <w:b/>
          <w:i w:val="0"/>
          <w:color w:val="1A1D20"/>
          <w:sz w:val="21"/>
        </w:rPr>
        <w:t xml:space="preserve">Low risk. </w:t>
      </w:r>
      <w:r>
        <w:rPr>
          <w:rFonts w:ascii="Calibri" w:hAnsi="Calibri"/>
          <w:b w:val="0"/>
          <w:i w:val="0"/>
          <w:color w:val="1A1D20"/>
          <w:sz w:val="21"/>
        </w:rPr>
        <w:t>Small, fixed, and bounded — you learn what's really going on before committing to anything bigger. Most clients use the Map to decide what to do next, and roughly half of what it finds is something they hadn't seen coming.</w:t>
      </w:r>
    </w:p>
    <w:p>
      <w:pPr>
        <w:spacing w:before="40" w:after="20" w:line="252" w:lineRule="auto"/>
        <w:jc w:val="left"/>
      </w:pPr>
      <w:r>
        <w:rPr>
          <w:rFonts w:ascii="Calibri" w:hAnsi="Calibri"/>
          <w:b/>
          <w:i w:val="0"/>
          <w:color w:val="0F4C3A"/>
          <w:sz w:val="20"/>
        </w:rPr>
        <w:t>PROOF</w:t>
      </w:r>
    </w:p>
    <w:p>
      <w:pPr>
        <w:spacing w:before="40" w:after="160" w:line="252" w:lineRule="auto"/>
        <w:jc w:val="left"/>
      </w:pPr>
      <w:r>
        <w:rPr>
          <w:rFonts w:ascii="Calibri" w:hAnsi="Calibri"/>
          <w:b w:val="0"/>
          <w:i/>
          <w:color w:val="1A1D20"/>
          <w:sz w:val="20"/>
        </w:rPr>
        <w:t>Similar work has been used to identify continuity, governance, and implementation risks before capital, technology, and organizational investments.</w:t>
      </w:r>
    </w:p>
    <w:p>
      <w:pPr>
        <w:spacing w:before="40" w:after="40" w:line="252" w:lineRule="auto"/>
        <w:jc w:val="center"/>
      </w:pPr>
      <w:r>
        <w:rPr>
          <w:rFonts w:ascii="Georgia" w:hAnsi="Georgia"/>
          <w:b/>
          <w:i/>
          <w:color w:val="0F4C3A"/>
          <w:sz w:val="24"/>
        </w:rPr>
        <w:t>Every system should make it easier for the next person to do the right thing.</w:t>
      </w:r>
    </w:p>
    <w:p>
      <w:pPr>
        <w:spacing w:before="40" w:after="160" w:line="252" w:lineRule="auto"/>
        <w:jc w:val="center"/>
      </w:pPr>
      <w:r>
        <w:rPr>
          <w:rFonts w:ascii="Calibri" w:hAnsi="Calibri"/>
          <w:b/>
          <w:i w:val="0"/>
          <w:color w:val="A9772F"/>
          <w:sz w:val="19"/>
        </w:rPr>
        <w:t>Implementation is the service.  Institutional Stewardship is the method.</w:t>
      </w:r>
    </w:p>
    <w:p>
      <w:pPr>
        <w:spacing w:before="0" w:after="0" w:line="252" w:lineRule="auto"/>
        <w:jc w:val="center"/>
      </w:pPr>
      <w:r>
        <w:rPr>
          <w:rFonts w:ascii="Calibri" w:hAnsi="Calibri"/>
          <w:b/>
          <w:i w:val="0"/>
          <w:color w:val="1A1D20"/>
          <w:sz w:val="17"/>
        </w:rPr>
        <w:t>PublicLogic LLC</w:t>
      </w:r>
      <w:r>
        <w:rPr>
          <w:rFonts w:ascii="Calibri" w:hAnsi="Calibri"/>
          <w:b w:val="0"/>
          <w:i w:val="0"/>
          <w:color w:val="6B6660"/>
          <w:sz w:val="17"/>
        </w:rPr>
        <w:t xml:space="preserve">   ·   Nathan Boudreau, MPA / MCPPO   ·   Dr. Allison Weiss Rothschild   ·   Private &amp; Confidential</w:t>
      </w:r>
    </w:p>
    <w:sectPr w:rsidR="00FC693F" w:rsidRPr="0006063C" w:rsidSect="00034616">
      <w:pgSz w:w="12240" w:h="15840"/>
      <w:pgMar w:top="864"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