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60"/>
        <w:jc w:val="center"/>
      </w:pPr>
      <w:r>
        <w:rPr>
          <w:rFonts w:ascii="Arial" w:cs="Arial" w:eastAsia="Arial" w:hAnsi="Arial"/>
          <w:b/>
          <w:bCs/>
          <w:color w:val="1B3A5C"/>
          <w:sz w:val="40"/>
          <w:szCs w:val="40"/>
        </w:rPr>
        <w:t xml:space="preserve">ENERGY MANN &amp; SUNN, INC.</w:t>
      </w:r>
    </w:p>
    <w:p>
      <w:pPr>
        <w:spacing w:after="0" w:before="40"/>
      </w:pPr>
    </w:p>
    <w:p>
      <w:pPr>
        <w:spacing w:after="40"/>
        <w:jc w:val="center"/>
      </w:pPr>
      <w:r>
        <w:rPr>
          <w:rFonts w:ascii="Arial" w:cs="Arial" w:eastAsia="Arial" w:hAnsi="Arial"/>
          <w:b/>
          <w:bCs/>
          <w:color w:val="C49A2A"/>
          <w:sz w:val="32"/>
          <w:szCs w:val="32"/>
        </w:rPr>
        <w:t xml:space="preserve">Michigan LTC Network</w:t>
      </w:r>
    </w:p>
    <w:p>
      <w:pPr>
        <w:spacing w:after="20"/>
        <w:jc w:val="center"/>
      </w:pPr>
      <w:r>
        <w:rPr>
          <w:rFonts w:ascii="Arial" w:cs="Arial" w:eastAsia="Arial" w:hAnsi="Arial"/>
          <w:b w:val="false"/>
          <w:bCs w:val="false"/>
          <w:color w:val="2D3748"/>
          <w:sz w:val="24"/>
          <w:szCs w:val="24"/>
        </w:rPr>
        <w:t xml:space="preserve">Circular Economy Reclamation Platform</w:t>
      </w:r>
    </w:p>
    <w:p>
      <w:pPr>
        <w:pBdr>
          <w:bottom w:val="single" w:color="1B3A5C" w:sz="6" w:space="16"/>
        </w:pBdr>
        <w:spacing w:after="300"/>
        <w:jc w:val="center"/>
      </w:pPr>
      <w:r>
        <w:rPr>
          <w:rFonts w:ascii="Arial" w:cs="Arial" w:eastAsia="Arial" w:hAnsi="Arial"/>
          <w:b w:val="false"/>
          <w:bCs w:val="false"/>
          <w:color w:val="4A5568"/>
          <w:sz w:val="22"/>
          <w:szCs w:val="22"/>
        </w:rPr>
        <w:t xml:space="preserve">Investor &amp; Stakeholder Brief</w:t>
      </w:r>
    </w:p>
    <w:p>
      <w:pPr>
        <w:spacing w:after="0" w:before="600"/>
      </w:pPr>
    </w:p>
    <w:p>
      <w:pPr>
        <w:spacing w:after="20"/>
        <w:jc w:val="center"/>
      </w:pPr>
      <w:r>
        <w:rPr>
          <w:rFonts w:ascii="Arial" w:cs="Arial" w:eastAsia="Arial" w:hAnsi="Arial"/>
          <w:b/>
          <w:bCs/>
          <w:color w:val="1B3A5C"/>
          <w:sz w:val="26"/>
          <w:szCs w:val="26"/>
        </w:rPr>
        <w:t xml:space="preserve">Coleman – Flint Materials Corridor</w:t>
      </w:r>
    </w:p>
    <w:p>
      <w:pPr>
        <w:spacing w:after="20"/>
        <w:jc w:val="center"/>
      </w:pPr>
      <w:r>
        <w:rPr>
          <w:rFonts w:ascii="Arial" w:cs="Arial" w:eastAsia="Arial" w:hAnsi="Arial"/>
          <w:b w:val="false"/>
          <w:bCs w:val="false"/>
          <w:color w:val="4A5568"/>
          <w:sz w:val="20"/>
          <w:szCs w:val="20"/>
        </w:rPr>
        <w:t xml:space="preserve">Multi-Site Industrial Redevelopment • Stacked Capital Model</w:t>
      </w:r>
    </w:p>
    <w:p>
      <w:pPr>
        <w:spacing w:after="20"/>
        <w:jc w:val="center"/>
      </w:pPr>
      <w:r>
        <w:rPr>
          <w:rFonts w:ascii="Arial" w:cs="Arial" w:eastAsia="Arial" w:hAnsi="Arial"/>
          <w:b w:val="false"/>
          <w:bCs w:val="false"/>
          <w:color w:val="4A5568"/>
          <w:sz w:val="20"/>
          <w:szCs w:val="20"/>
        </w:rPr>
        <w:t xml:space="preserve">Pyrolysis Conversion Technology • Community-Embedded Design</w:t>
      </w:r>
    </w:p>
    <w:p>
      <w:pPr>
        <w:spacing w:after="0" w:before="400"/>
      </w:pPr>
    </w:p>
    <w:p>
      <w:pPr>
        <w:spacing w:after="10"/>
        <w:jc w:val="center"/>
      </w:pPr>
      <w:r>
        <w:rPr>
          <w:rFonts w:ascii="Arial" w:cs="Arial" w:eastAsia="Arial" w:hAnsi="Arial"/>
          <w:b w:val="false"/>
          <w:bCs w:val="false"/>
          <w:color w:val="4A5568"/>
          <w:sz w:val="20"/>
          <w:szCs w:val="20"/>
        </w:rPr>
        <w:t xml:space="preserve">May 2026 • Confidential</w:t>
      </w:r>
    </w:p>
    <w:p>
      <w:pPr>
        <w:spacing w:after="10"/>
        <w:jc w:val="center"/>
      </w:pPr>
      <w:r>
        <w:rPr>
          <w:rFonts w:ascii="Arial" w:cs="Arial" w:eastAsia="Arial" w:hAnsi="Arial"/>
          <w:b w:val="false"/>
          <w:bCs w:val="false"/>
          <w:color w:val="C49A2A"/>
          <w:sz w:val="18"/>
          <w:szCs w:val="18"/>
        </w:rPr>
        <w:t xml:space="preserve">Governance &amp; Compliance Infrastructure by PublicLogic LLC</w:t>
      </w:r>
    </w:p>
    <w:p>
      <w:r>
        <w:br w:type="page"/>
      </w:r>
    </w:p>
    <w:p>
      <w:pPr>
        <w:pStyle w:val="Heading1"/>
        <w:spacing w:after="120" w:before="400"/>
      </w:pPr>
      <w:r>
        <w:rPr>
          <w:rFonts w:ascii="Arial" w:cs="Arial" w:eastAsia="Arial" w:hAnsi="Arial"/>
          <w:b/>
          <w:bCs/>
          <w:color w:val="1B3A5C"/>
          <w:sz w:val="28"/>
          <w:szCs w:val="28"/>
        </w:rPr>
        <w:t xml:space="preserve">The Opportunity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
        <w:gridCol w:w="9600"/>
      </w:tblGrid>
      <w:tr>
        <w:tc>
          <w:tcPr>
            <w:tcW w:type="dxa" w:w="120"/>
            <w:tcBorders>
              <w:top w:val="none" w:sz="0"/>
              <w:left w:val="single" w:color="C49A2A" w:sz="12"/>
              <w:bottom w:val="none" w:sz="0"/>
              <w:right w:val="none" w:sz="0"/>
            </w:tcBorders>
            <w:shd w:fill="E8F0FE" w:val="clear"/>
          </w:tcPr>
          <w:p/>
        </w:tc>
        <w:tc>
          <w:tcPr>
            <w:tcW w:type="dxa" w:w="9600"/>
            <w:tcBorders>
              <w:top w:val="none" w:sz="0"/>
              <w:left w:val="none" w:sz="0"/>
              <w:bottom w:val="none" w:sz="0"/>
              <w:right w:val="none" w:sz="0"/>
            </w:tcBorders>
            <w:shd w:fill="E8F0FE" w:val="clear"/>
            <w:tcMar>
              <w:top w:type="dxa" w:w="100"/>
              <w:left w:type="dxa" w:w="160"/>
              <w:bottom w:type="dxa" w:w="100"/>
              <w:right w:type="dxa" w:w="160"/>
            </w:tcMar>
          </w:tcPr>
          <w:p>
            <w:pPr>
              <w:spacing w:after="60" w:line="260"/>
            </w:pPr>
            <w:r>
              <w:rPr>
                <w:rFonts w:ascii="Arial" w:cs="Arial" w:eastAsia="Arial" w:hAnsi="Arial"/>
                <w:b w:val="false"/>
                <w:bCs w:val="false"/>
                <w:color w:val="2D3748"/>
                <w:sz w:val="20"/>
                <w:szCs w:val="20"/>
              </w:rPr>
              <w:t xml:space="preserve">The Michigan LTC Network is a multi-site circular economy platform converting end-of-life tires, railroad ties, and forestry biomass into renewable fuel, carbon black, and carbon credits across the Coleman–Flint industrial corridor.</w:t>
            </w:r>
          </w:p>
          <w:p>
            <w:pPr>
              <w:spacing w:after="60" w:line="260"/>
            </w:pPr>
            <w:r>
              <w:rPr>
                <w:rFonts w:ascii="Arial" w:cs="Arial" w:eastAsia="Arial" w:hAnsi="Arial"/>
                <w:b w:val="false"/>
                <w:bCs w:val="false"/>
                <w:color w:val="2D3748"/>
                <w:sz w:val="20"/>
                <w:szCs w:val="20"/>
              </w:rPr>
              <w:t xml:space="preserve">Development cost: $12.2–$15M per site. Annual revenue: $16.9M per site. Projected investor return: $14M on a $10M capital raise over four years. Three sites in development with a platform model designed to replicate nationally.</w:t>
            </w:r>
          </w:p>
        </w:tc>
      </w:tr>
    </w:tbl>
    <w:p>
      <w:pPr>
        <w:spacing w:after="0" w:before="60"/>
      </w:pPr>
    </w:p>
    <w:p>
      <w:pPr>
        <w:spacing w:after="120" w:before="0" w:line="276"/>
        <w:jc w:val="left"/>
      </w:pPr>
      <w:r>
        <w:rPr>
          <w:rFonts w:ascii="Arial" w:cs="Arial" w:eastAsia="Arial" w:hAnsi="Arial"/>
          <w:b w:val="false"/>
          <w:bCs w:val="false"/>
          <w:color w:val="2D3748"/>
          <w:sz w:val="22"/>
          <w:szCs w:val="22"/>
        </w:rPr>
        <w:t>Energy Mann &amp; Sunn, Inc. (EM&amp;S) has assembled a development team that controls the critical elements of the value chain: proprietary pyrolysis technology (WasteWerx LLC), contracted feedstock supply (National Salvage &amp; Service Corporation, E.R.R. Inc.), established processing infrastructure (Geocycle LLC), rail logistics (Lake State Railway), and governance and compliance architecture (PublicLogic LLC).</w:t>
      </w:r>
    </w:p>
    <w:p>
      <w:pPr>
        <w:spacing w:after="120" w:before="0" w:line="276"/>
        <w:jc w:val="left"/>
      </w:pPr>
      <w:r>
        <w:rPr>
          <w:rFonts w:ascii="Arial" w:cs="Arial" w:eastAsia="Arial" w:hAnsi="Arial"/>
          <w:b w:val="false"/>
          <w:bCs w:val="false"/>
          <w:color w:val="2D3748"/>
          <w:sz w:val="22"/>
          <w:szCs w:val="22"/>
        </w:rPr>
        <w:t xml:space="preserve">The project is not a single facility. It is a scalable platform designed to be deployed in every state with the same institutional integrity, the same compliance standards, and the same community benefit commitments. Michigan is the anchor deployment.</w:t>
      </w:r>
    </w:p>
    <w:p>
      <w:r>
        <w:br w:type="page"/>
      </w:r>
    </w:p>
    <w:p>
      <w:pPr>
        <w:pStyle w:val="Heading1"/>
        <w:spacing w:after="120" w:before="400"/>
      </w:pPr>
      <w:r>
        <w:rPr>
          <w:rFonts w:ascii="Arial" w:cs="Arial" w:eastAsia="Arial" w:hAnsi="Arial"/>
          <w:b/>
          <w:bCs/>
          <w:color w:val="1B3A5C"/>
          <w:sz w:val="28"/>
          <w:szCs w:val="28"/>
        </w:rPr>
        <w:t xml:space="preserve">The Sites</w:t>
      </w:r>
    </w:p>
    <w:p>
      <w:pPr>
        <w:pStyle w:val="Heading2"/>
        <w:spacing w:after="120" w:before="260"/>
      </w:pPr>
      <w:r>
        <w:rPr>
          <w:rFonts w:ascii="Arial" w:cs="Arial" w:eastAsia="Arial" w:hAnsi="Arial"/>
          <w:b/>
          <w:bCs/>
          <w:color w:val="1B3A5C"/>
          <w:sz w:val="24"/>
          <w:szCs w:val="24"/>
        </w:rPr>
        <w:t xml:space="preserve">Coldwater Road Reclamation Campus</w:t>
      </w:r>
    </w:p>
    <w:p>
      <w:pPr>
        <w:spacing w:after="120" w:before="0" w:line="276"/>
        <w:jc w:val="left"/>
      </w:pPr>
      <w:r>
        <w:rPr>
          <w:rFonts w:ascii="Arial" w:cs="Arial" w:eastAsia="Arial" w:hAnsi="Arial"/>
          <w:b/>
          <w:bCs/>
          <w:color w:val="2D3748"/>
          <w:sz w:val="22"/>
          <w:szCs w:val="22"/>
        </w:rPr>
        <w:t xml:space="preserve">1245 East Coldwater Road, Genesee Township, MI • </w:t>
      </w:r>
      <w:r>
        <w:rPr>
          <w:rFonts w:ascii="Arial" w:cs="Arial" w:eastAsia="Arial" w:hAnsi="Arial"/>
          <w:b w:val="false"/>
          <w:bCs w:val="false"/>
          <w:color w:val="2D3748"/>
          <w:sz w:val="22"/>
          <w:szCs w:val="22"/>
        </w:rPr>
        <w:t xml:space="preserve">118.3 acres • RACER Trust Site ID 13270</w:t>
      </w:r>
    </w:p>
    <w:p>
      <w:pPr>
        <w:spacing w:after="120" w:before="0" w:line="276"/>
        <w:jc w:val="left"/>
      </w:pPr>
      <w:r>
        <w:rPr>
          <w:rFonts w:ascii="Arial" w:cs="Arial" w:eastAsia="Arial" w:hAnsi="Arial"/>
          <w:b w:val="false"/>
          <w:bCs w:val="false"/>
          <w:color w:val="2D3748"/>
          <w:sz w:val="22"/>
          <w:szCs w:val="22"/>
        </w:rPr>
        <w:t xml:space="preserve">The primary hub of the Michigan LTC Network. This former GM property features 4,570 feet of rail frontage on Lake State Railway, heavy industrial zoning, proximity to 138 kV and 46 kV Consumers Energy substations, and full utility infrastructure (water, sewer, natural gas). RACER Trust has completed fresh due diligence including geotechnical assessment, traffic study, wetland survey, and threatened/endangered species report (2024–2026). The site is flat, vacant, and actively listed for sale.</w:t>
      </w:r>
    </w:p>
    <w:p>
      <w:pPr>
        <w:spacing w:after="120" w:before="0" w:line="276"/>
        <w:jc w:val="left"/>
      </w:pPr>
      <w:r>
        <w:rPr>
          <w:rFonts w:ascii="Arial" w:cs="Arial" w:eastAsia="Arial" w:hAnsi="Arial"/>
          <w:b/>
          <w:bCs/>
          <w:color w:val="2D3748"/>
          <w:sz w:val="22"/>
          <w:szCs w:val="22"/>
        </w:rPr>
        <w:t xml:space="preserve">Environmental status: </w:t>
      </w:r>
      <w:r>
        <w:rPr>
          <w:rFonts w:ascii="Arial" w:cs="Arial" w:eastAsia="Arial" w:hAnsi="Arial"/>
          <w:b w:val="false"/>
          <w:bCs w:val="false"/>
          <w:color w:val="2D3748"/>
          <w:sz w:val="22"/>
          <w:szCs w:val="22"/>
        </w:rPr>
        <w:t xml:space="preserve">EGLE issued a No Further Action — Complete with Controls determination (November 2018). Restrictive covenant recorded March 2018. Due Care Plan on file since 2008. PFAS sampled 2016–2017 and resolved. This site is substantially pre-cleared for industrial redevelopment — a rare and significant advantage in the brownfield pipeline.</w:t>
      </w:r>
    </w:p>
    <w:p>
      <w:pPr>
        <w:pStyle w:val="Heading2"/>
        <w:spacing w:after="120" w:before="260"/>
      </w:pPr>
      <w:r>
        <w:rPr>
          <w:rFonts w:ascii="Arial" w:cs="Arial" w:eastAsia="Arial" w:hAnsi="Arial"/>
          <w:b/>
          <w:bCs/>
          <w:color w:val="1B3A5C"/>
          <w:sz w:val="24"/>
          <w:szCs w:val="24"/>
        </w:rPr>
        <w:t xml:space="preserve">Dort Highway Processing Campus</w:t>
      </w:r>
    </w:p>
    <w:p>
      <w:pPr>
        <w:spacing w:after="120" w:before="0" w:line="276"/>
        <w:jc w:val="left"/>
      </w:pPr>
      <w:r>
        <w:rPr>
          <w:rFonts w:ascii="Arial" w:cs="Arial" w:eastAsia="Arial" w:hAnsi="Arial"/>
          <w:b/>
          <w:bCs/>
          <w:color w:val="2D3748"/>
          <w:sz w:val="22"/>
          <w:szCs w:val="22"/>
        </w:rPr>
        <w:t xml:space="preserve">Dort Highway, Flint, MI • </w:t>
      </w:r>
      <w:r>
        <w:rPr>
          <w:rFonts w:ascii="Arial" w:cs="Arial" w:eastAsia="Arial" w:hAnsi="Arial"/>
          <w:b w:val="false"/>
          <w:bCs w:val="false"/>
          <w:color w:val="2D3748"/>
          <w:sz w:val="22"/>
          <w:szCs w:val="22"/>
        </w:rPr>
        <w:t xml:space="preserve">14 acres • Brownfield • SPV: E.M.&amp;S.-FLINT Project Development LLC</w:t>
      </w:r>
    </w:p>
    <w:p>
      <w:pPr>
        <w:spacing w:after="120" w:before="0" w:line="276"/>
        <w:jc w:val="left"/>
      </w:pPr>
      <w:r>
        <w:rPr>
          <w:rFonts w:ascii="Arial" w:cs="Arial" w:eastAsia="Arial" w:hAnsi="Arial"/>
          <w:b w:val="false"/>
          <w:bCs w:val="false"/>
          <w:color w:val="2D3748"/>
          <w:sz w:val="22"/>
          <w:szCs w:val="22"/>
        </w:rPr>
        <w:t>A dedicated 100-ton/day tire-to-energy processing facility on brownfield land under long-term ground lease from the Guy Parson Trust. Contracted feedstock supply from E.R.R. Inc. (10-year term, 40,000 tons/year at $25/ton tipping fee). Rail logistics through Lake State Railway. Framework development agreement executed with four parties (landowner, supplier, operator, rail provider). Brownfield tax incentive and remediation grant eligible.</w:t>
      </w:r>
    </w:p>
    <w:p>
      <w:pPr>
        <w:pStyle w:val="Heading2"/>
        <w:spacing w:after="120" w:before="260"/>
      </w:pPr>
      <w:r>
        <w:rPr>
          <w:rFonts w:ascii="Arial" w:cs="Arial" w:eastAsia="Arial" w:hAnsi="Arial"/>
          <w:b/>
          <w:bCs/>
          <w:color w:val="1B3A5C"/>
          <w:sz w:val="24"/>
          <w:szCs w:val="24"/>
        </w:rPr>
        <w:t xml:space="preserve">Coleman Co-Location Facility</w:t>
      </w:r>
    </w:p>
    <w:p>
      <w:pPr>
        <w:spacing w:after="120" w:before="0" w:line="276"/>
        <w:jc w:val="left"/>
      </w:pPr>
      <w:r>
        <w:rPr>
          <w:rFonts w:ascii="Arial" w:cs="Arial" w:eastAsia="Arial" w:hAnsi="Arial"/>
          <w:b/>
          <w:bCs/>
          <w:color w:val="2D3748"/>
          <w:sz w:val="22"/>
          <w:szCs w:val="22"/>
        </w:rPr>
        <w:t xml:space="preserve">4602 W Saginaw Rd, Coleman, MI 48618 • </w:t>
      </w:r>
      <w:r>
        <w:rPr>
          <w:rFonts w:ascii="Arial" w:cs="Arial" w:eastAsia="Arial" w:hAnsi="Arial"/>
          <w:b w:val="false"/>
          <w:bCs w:val="false"/>
          <w:color w:val="2D3748"/>
          <w:sz w:val="22"/>
          <w:szCs w:val="22"/>
        </w:rPr>
        <w:t xml:space="preserve">Co-located with Geocycle LLC </w:t>
      </w:r>
    </w:p>
    <w:p>
      <w:pPr>
        <w:spacing w:after="120" w:before="0" w:line="276"/>
        <w:jc w:val="left"/>
      </w:pPr>
      <w:r>
        <w:rPr>
          <w:rFonts w:ascii="Arial" w:cs="Arial" w:eastAsia="Arial" w:hAnsi="Arial"/>
          <w:b w:val="false"/>
          <w:bCs w:val="false"/>
          <w:color w:val="2D3748"/>
          <w:sz w:val="22"/>
          <w:szCs w:val="22"/>
        </w:rPr>
        <w:t>Strategic co-location with Michigan's largest tire recycler. Geocycle operates existing processing infrastructure, holds Part 169 registration, and supplies 22,000 tons/year of tire-derived fuel to the Alpena cement kiln. EM&amp;S deploys WasteWerx pyrolysis technology configured for forestry biomass and railroad ties sourced through National Salvage. USDA REAP and B&amp;I Guaranteed Loan eligible as a rural facility.</w:t>
      </w:r>
    </w:p>
    <w:p>
      <w:r>
        <w:br w:type="page"/>
      </w:r>
    </w:p>
    <w:p>
      <w:pPr>
        <w:pStyle w:val="Heading1"/>
        <w:spacing w:after="120" w:before="400"/>
      </w:pPr>
      <w:r>
        <w:rPr>
          <w:rFonts w:ascii="Arial" w:cs="Arial" w:eastAsia="Arial" w:hAnsi="Arial"/>
          <w:b/>
          <w:bCs/>
          <w:color w:val="1B3A5C"/>
          <w:sz w:val="28"/>
          <w:szCs w:val="28"/>
        </w:rPr>
        <w:t xml:space="preserve">The Technology</w:t>
      </w:r>
    </w:p>
    <w:p>
      <w:pPr>
        <w:spacing w:after="120" w:before="0" w:line="276"/>
        <w:jc w:val="left"/>
      </w:pPr>
      <w:r>
        <w:rPr>
          <w:rFonts w:ascii="Arial" w:cs="Arial" w:eastAsia="Arial" w:hAnsi="Arial"/>
          <w:b w:val="false"/>
          <w:bCs w:val="false"/>
          <w:color w:val="2D3748"/>
          <w:sz w:val="22"/>
          <w:szCs w:val="22"/>
        </w:rPr>
        <w:t xml:space="preserve">WasteWerx LLC (St. Petersburg, FL) manufactures proprietary pyrolysis distillation refinery equipment that converts waste feedstock into three high-value commodity streams: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720"/>
      </w:tblGrid>
      <w:tr>
        <w:tc>
          <w:tcPr>
            <w:tcW w:type="dxa" w:w="2400"/>
            <w:tcBorders>
              <w:top w:val="single" w:color="CBD5E0" w:sz="1"/>
              <w:left w:val="single" w:color="CBD5E0" w:sz="1"/>
              <w:bottom w:val="single" w:color="CBD5E0" w:sz="1"/>
              <w:right w:val="single" w:color="CBD5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Output</w:t>
            </w:r>
          </w:p>
        </w:tc>
        <w:tc>
          <w:tcPr>
            <w:tcW w:type="dxa" w:w="1200"/>
            <w:tcBorders>
              <w:top w:val="single" w:color="CBD5E0" w:sz="1"/>
              <w:left w:val="single" w:color="CBD5E0" w:sz="1"/>
              <w:bottom w:val="single" w:color="CBD5E0" w:sz="1"/>
              <w:right w:val="single" w:color="CBD5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Yield</w:t>
            </w:r>
          </w:p>
        </w:tc>
        <w:tc>
          <w:tcPr>
            <w:tcW w:type="dxa" w:w="2400"/>
            <w:tcBorders>
              <w:top w:val="single" w:color="CBD5E0" w:sz="1"/>
              <w:left w:val="single" w:color="CBD5E0" w:sz="1"/>
              <w:bottom w:val="single" w:color="CBD5E0" w:sz="1"/>
              <w:right w:val="single" w:color="CBD5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Daily Output (100 TPD)</w:t>
            </w:r>
          </w:p>
        </w:tc>
        <w:tc>
          <w:tcPr>
            <w:tcW w:type="dxa" w:w="3720"/>
            <w:tcBorders>
              <w:top w:val="single" w:color="CBD5E0" w:sz="1"/>
              <w:left w:val="single" w:color="CBD5E0" w:sz="1"/>
              <w:bottom w:val="single" w:color="CBD5E0" w:sz="1"/>
              <w:right w:val="single" w:color="CBD5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Annual Revenue (300 days)</w:t>
            </w:r>
          </w:p>
        </w:tc>
      </w:tr>
      <w:tr>
        <w:tc>
          <w:tcPr>
            <w:tcW w:type="dxa" w:w="24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bCs/>
                <w:color w:val="2D3748"/>
                <w:sz w:val="18"/>
                <w:szCs w:val="18"/>
              </w:rPr>
              <w:t xml:space="preserve">Pyrolysis Oil (Bio-Diesel)</w:t>
            </w:r>
          </w:p>
        </w:tc>
        <w:tc>
          <w:tcPr>
            <w:tcW w:type="dxa" w:w="12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45%</w:t>
            </w:r>
          </w:p>
        </w:tc>
        <w:tc>
          <w:tcPr>
            <w:tcW w:type="dxa" w:w="24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45 metric tons</w:t>
            </w:r>
          </w:p>
        </w:tc>
        <w:tc>
          <w:tcPr>
            <w:tcW w:type="dxa" w:w="372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$6,750,000</w:t>
            </w:r>
          </w:p>
        </w:tc>
      </w:tr>
      <w:tr>
        <w:tc>
          <w:tcPr>
            <w:tcW w:type="dxa" w:w="24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bCs/>
                <w:color w:val="2D3748"/>
                <w:sz w:val="18"/>
                <w:szCs w:val="18"/>
              </w:rPr>
              <w:t xml:space="preserve">Carbon Black</w:t>
            </w:r>
          </w:p>
        </w:tc>
        <w:tc>
          <w:tcPr>
            <w:tcW w:type="dxa" w:w="12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45%</w:t>
            </w:r>
          </w:p>
        </w:tc>
        <w:tc>
          <w:tcPr>
            <w:tcW w:type="dxa" w:w="24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45 metric tons</w:t>
            </w:r>
          </w:p>
        </w:tc>
        <w:tc>
          <w:tcPr>
            <w:tcW w:type="dxa" w:w="372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$10,125,000</w:t>
            </w:r>
          </w:p>
        </w:tc>
      </w:tr>
      <w:tr>
        <w:tc>
          <w:tcPr>
            <w:tcW w:type="dxa" w:w="24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bCs/>
                <w:color w:val="2D3748"/>
                <w:sz w:val="18"/>
                <w:szCs w:val="18"/>
              </w:rPr>
              <w:t xml:space="preserve">Syngas (returned to process)</w:t>
            </w:r>
          </w:p>
        </w:tc>
        <w:tc>
          <w:tcPr>
            <w:tcW w:type="dxa" w:w="12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5%</w:t>
            </w:r>
          </w:p>
        </w:tc>
        <w:tc>
          <w:tcPr>
            <w:tcW w:type="dxa" w:w="24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Self-fueling</w:t>
            </w:r>
          </w:p>
        </w:tc>
        <w:tc>
          <w:tcPr>
            <w:tcW w:type="dxa" w:w="372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$0 (offsets energy cost)</w:t>
            </w:r>
          </w:p>
        </w:tc>
      </w:tr>
      <w:tr>
        <w:tc>
          <w:tcPr>
            <w:tcW w:type="dxa" w:w="24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bCs/>
                <w:color w:val="2D3748"/>
                <w:sz w:val="18"/>
                <w:szCs w:val="18"/>
              </w:rPr>
              <w:t xml:space="preserve">Organic Residue</w:t>
            </w:r>
          </w:p>
        </w:tc>
        <w:tc>
          <w:tcPr>
            <w:tcW w:type="dxa" w:w="12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5%</w:t>
            </w:r>
          </w:p>
        </w:tc>
        <w:tc>
          <w:tcPr>
            <w:tcW w:type="dxa" w:w="24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Inert powder</w:t>
            </w:r>
          </w:p>
        </w:tc>
        <w:tc>
          <w:tcPr>
            <w:tcW w:type="dxa" w:w="372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$0 (benign byproduct)</w:t>
            </w:r>
          </w:p>
        </w:tc>
      </w:tr>
      <w:tr>
        <w:tc>
          <w:tcPr>
            <w:tcW w:type="dxa" w:w="24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bCs/>
                <w:color w:val="2D3748"/>
                <w:sz w:val="18"/>
                <w:szCs w:val="18"/>
              </w:rPr>
              <w:t xml:space="preserve">TOTAL</w:t>
            </w:r>
          </w:p>
        </w:tc>
        <w:tc>
          <w:tcPr>
            <w:tcW w:type="dxa" w:w="12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
            </w:r>
          </w:p>
        </w:tc>
        <w:tc>
          <w:tcPr>
            <w:tcW w:type="dxa" w:w="24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
            </w:r>
          </w:p>
        </w:tc>
        <w:tc>
          <w:tcPr>
            <w:tcW w:type="dxa" w:w="372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bCs/>
                <w:color w:val="2D3748"/>
                <w:sz w:val="18"/>
                <w:szCs w:val="18"/>
              </w:rPr>
              <w:t xml:space="preserve">$16,875,000</w:t>
            </w:r>
          </w:p>
        </w:tc>
      </w:tr>
    </w:tbl>
    <w:p>
      <w:pPr>
        <w:spacing w:after="0" w:before="60"/>
      </w:pPr>
    </w:p>
    <w:p>
      <w:pPr>
        <w:spacing w:after="120" w:before="0" w:line="276"/>
        <w:jc w:val="left"/>
      </w:pPr>
      <w:r>
        <w:rPr>
          <w:rFonts w:ascii="Arial" w:cs="Arial" w:eastAsia="Arial" w:hAnsi="Arial"/>
          <w:b/>
          <w:bCs/>
          <w:color w:val="2D3748"/>
          <w:sz w:val="22"/>
          <w:szCs w:val="22"/>
        </w:rPr>
        <w:t xml:space="preserve">Technology advantages: </w:t>
      </w:r>
      <w:r>
        <w:rPr>
          <w:rFonts w:ascii="Arial" w:cs="Arial" w:eastAsia="Arial" w:hAnsi="Arial"/>
          <w:b w:val="false"/>
          <w:bCs w:val="false"/>
          <w:color w:val="2D3748"/>
          <w:sz w:val="22"/>
          <w:szCs w:val="22"/>
        </w:rPr>
        <w:t xml:space="preserve">WasteWerx equipment does not require heavy air filtration and has favorable discharge characteristics relative to competing pyrolysis technologies, potentially simplifying the EGLE Air Permit to Install pathway and reducing the likelihood of triggering Major Source / Title V requirements. Environmental and carbon credits are not factored into the revenue projections above — they represent additional upside.</w:t>
      </w:r>
    </w:p>
    <w:p>
      <w:pPr>
        <w:spacing w:after="120" w:before="0" w:line="276"/>
        <w:jc w:val="left"/>
      </w:pPr>
      <w:r>
        <w:rPr>
          <w:rFonts w:ascii="Arial" w:cs="Arial" w:eastAsia="Arial" w:hAnsi="Arial"/>
          <w:b/>
          <w:bCs/>
          <w:color w:val="2D3748"/>
          <w:sz w:val="22"/>
          <w:szCs w:val="22"/>
        </w:rPr>
        <w:t xml:space="preserve">WasteWerx team: </w:t>
      </w:r>
      <w:r>
        <w:rPr>
          <w:rFonts w:ascii="Arial" w:cs="Arial" w:eastAsia="Arial" w:hAnsi="Arial"/>
          <w:b w:val="false"/>
          <w:bCs w:val="false"/>
          <w:color w:val="2D3748"/>
          <w:sz w:val="22"/>
          <w:szCs w:val="22"/>
        </w:rPr>
        <w:t xml:space="preserve">JT Clark (CEO), Vinnie Fisio (COO), Es Rodriguez (CTO). WasteWerx has expressed interest in engaging PublicLogic as a standing governance and compliance partner across their client portfolio.</w:t>
      </w:r>
    </w:p>
    <w:p>
      <w:r>
        <w:br w:type="page"/>
      </w:r>
    </w:p>
    <w:p>
      <w:pPr>
        <w:pStyle w:val="Heading1"/>
        <w:spacing w:after="120" w:before="400"/>
      </w:pPr>
      <w:r>
        <w:rPr>
          <w:rFonts w:ascii="Arial" w:cs="Arial" w:eastAsia="Arial" w:hAnsi="Arial"/>
          <w:b/>
          <w:bCs/>
          <w:color w:val="1B3A5C"/>
          <w:sz w:val="28"/>
          <w:szCs w:val="28"/>
        </w:rPr>
        <w:t xml:space="preserve">Financial Model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260"/>
        <w:gridCol w:w="3260"/>
      </w:tblGrid>
      <w:tr>
        <w:tc>
          <w:tcPr>
            <w:tcW w:type="dxa" w:w="3200"/>
            <w:tcBorders>
              <w:top w:val="single" w:color="CBD5E0" w:sz="1"/>
              <w:left w:val="single" w:color="CBD5E0" w:sz="1"/>
              <w:bottom w:val="single" w:color="CBD5E0" w:sz="1"/>
              <w:right w:val="single" w:color="CBD5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3260"/>
            <w:tcBorders>
              <w:top w:val="single" w:color="CBD5E0" w:sz="1"/>
              <w:left w:val="single" w:color="CBD5E0" w:sz="1"/>
              <w:bottom w:val="single" w:color="CBD5E0" w:sz="1"/>
              <w:right w:val="single" w:color="CBD5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Per Site</w:t>
            </w:r>
          </w:p>
        </w:tc>
        <w:tc>
          <w:tcPr>
            <w:tcW w:type="dxa" w:w="3260"/>
            <w:tcBorders>
              <w:top w:val="single" w:color="CBD5E0" w:sz="1"/>
              <w:left w:val="single" w:color="CBD5E0" w:sz="1"/>
              <w:bottom w:val="single" w:color="CBD5E0" w:sz="1"/>
              <w:right w:val="single" w:color="CBD5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Three-Site Network</w:t>
            </w:r>
          </w:p>
        </w:tc>
      </w:tr>
      <w:tr>
        <w:tc>
          <w:tcPr>
            <w:tcW w:type="dxa" w:w="32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bCs/>
                <w:color w:val="2D3748"/>
                <w:sz w:val="18"/>
                <w:szCs w:val="18"/>
              </w:rPr>
              <w:t xml:space="preserve">Development Cost (base)</w:t>
            </w:r>
          </w:p>
        </w:tc>
        <w:tc>
          <w:tcPr>
            <w:tcW w:type="dxa" w:w="326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$12,200,000</w:t>
            </w:r>
          </w:p>
        </w:tc>
        <w:tc>
          <w:tcPr>
            <w:tcW w:type="dxa" w:w="326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$36,600,000</w:t>
            </w:r>
          </w:p>
        </w:tc>
      </w:tr>
      <w:tr>
        <w:tc>
          <w:tcPr>
            <w:tcW w:type="dxa" w:w="32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bCs/>
                <w:color w:val="2D3748"/>
                <w:sz w:val="18"/>
                <w:szCs w:val="18"/>
              </w:rPr>
              <w:t xml:space="preserve">Updated Budget (with 2nd process + contingency)</w:t>
            </w:r>
          </w:p>
        </w:tc>
        <w:tc>
          <w:tcPr>
            <w:tcW w:type="dxa" w:w="326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~$15,000,000</w:t>
            </w:r>
          </w:p>
        </w:tc>
        <w:tc>
          <w:tcPr>
            <w:tcW w:type="dxa" w:w="326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~$45,000,000</w:t>
            </w:r>
          </w:p>
        </w:tc>
      </w:tr>
      <w:tr>
        <w:tc>
          <w:tcPr>
            <w:tcW w:type="dxa" w:w="32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bCs/>
                <w:color w:val="2D3748"/>
                <w:sz w:val="18"/>
                <w:szCs w:val="18"/>
              </w:rPr>
              <w:t xml:space="preserve">Annual Revenue</w:t>
            </w:r>
          </w:p>
        </w:tc>
        <w:tc>
          <w:tcPr>
            <w:tcW w:type="dxa" w:w="326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$16,875,000</w:t>
            </w:r>
          </w:p>
        </w:tc>
        <w:tc>
          <w:tcPr>
            <w:tcW w:type="dxa" w:w="326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$50,625,000</w:t>
            </w:r>
          </w:p>
        </w:tc>
      </w:tr>
      <w:tr>
        <w:tc>
          <w:tcPr>
            <w:tcW w:type="dxa" w:w="32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bCs/>
                <w:color w:val="2D3748"/>
                <w:sz w:val="18"/>
                <w:szCs w:val="18"/>
              </w:rPr>
              <w:t xml:space="preserve">Annual Operating Expenses (incl. investor return)</w:t>
            </w:r>
          </w:p>
        </w:tc>
        <w:tc>
          <w:tcPr>
            <w:tcW w:type="dxa" w:w="326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$13,494,000</w:t>
            </w:r>
          </w:p>
        </w:tc>
        <w:tc>
          <w:tcPr>
            <w:tcW w:type="dxa" w:w="326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$40,482,000</w:t>
            </w:r>
          </w:p>
        </w:tc>
      </w:tr>
      <w:tr>
        <w:tc>
          <w:tcPr>
            <w:tcW w:type="dxa" w:w="32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bCs/>
                <w:color w:val="2D3748"/>
                <w:sz w:val="18"/>
                <w:szCs w:val="18"/>
              </w:rPr>
              <w:t xml:space="preserve">Annual Net Income</w:t>
            </w:r>
          </w:p>
        </w:tc>
        <w:tc>
          <w:tcPr>
            <w:tcW w:type="dxa" w:w="326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$3,381,000</w:t>
            </w:r>
          </w:p>
        </w:tc>
        <w:tc>
          <w:tcPr>
            <w:tcW w:type="dxa" w:w="326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$10,143,000</w:t>
            </w:r>
          </w:p>
        </w:tc>
      </w:tr>
      <w:tr>
        <w:tc>
          <w:tcPr>
            <w:tcW w:type="dxa" w:w="32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bCs/>
                <w:color w:val="2D3748"/>
                <w:sz w:val="18"/>
                <w:szCs w:val="18"/>
              </w:rPr>
              <w:t xml:space="preserve">Capital Raise</w:t>
            </w:r>
          </w:p>
        </w:tc>
        <w:tc>
          <w:tcPr>
            <w:tcW w:type="dxa" w:w="326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$10,000,000</w:t>
            </w:r>
          </w:p>
        </w:tc>
        <w:tc>
          <w:tcPr>
            <w:tcW w:type="dxa" w:w="326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$30,000,000</w:t>
            </w:r>
          </w:p>
        </w:tc>
      </w:tr>
      <w:tr>
        <w:tc>
          <w:tcPr>
            <w:tcW w:type="dxa" w:w="32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bCs/>
                <w:color w:val="2D3748"/>
                <w:sz w:val="18"/>
                <w:szCs w:val="18"/>
              </w:rPr>
              <w:t xml:space="preserve">Investor Return (annual × 4 years)</w:t>
            </w:r>
          </w:p>
        </w:tc>
        <w:tc>
          <w:tcPr>
            <w:tcW w:type="dxa" w:w="326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$3,500,000/yr → $14,000,000</w:t>
            </w:r>
          </w:p>
        </w:tc>
        <w:tc>
          <w:tcPr>
            <w:tcW w:type="dxa" w:w="326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$10,500,000/yr → $42,000,000</w:t>
            </w:r>
          </w:p>
        </w:tc>
      </w:tr>
      <w:tr>
        <w:tc>
          <w:tcPr>
            <w:tcW w:type="dxa" w:w="32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bCs/>
                <w:color w:val="2D3748"/>
                <w:sz w:val="18"/>
                <w:szCs w:val="18"/>
              </w:rPr>
              <w:t xml:space="preserve">Payoff Period</w:t>
            </w:r>
          </w:p>
        </w:tc>
        <w:tc>
          <w:tcPr>
            <w:tcW w:type="dxa" w:w="326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~4 years from commissioning</w:t>
            </w:r>
          </w:p>
        </w:tc>
        <w:tc>
          <w:tcPr>
            <w:tcW w:type="dxa" w:w="326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Staggered by site</w:t>
            </w:r>
          </w:p>
        </w:tc>
      </w:tr>
      <w:tr>
        <w:tc>
          <w:tcPr>
            <w:tcW w:type="dxa" w:w="32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bCs/>
                <w:color w:val="2D3748"/>
                <w:sz w:val="18"/>
                <w:szCs w:val="18"/>
              </w:rPr>
              <w:t xml:space="preserve">Feedstock Capacity</w:t>
            </w:r>
          </w:p>
        </w:tc>
        <w:tc>
          <w:tcPr>
            <w:tcW w:type="dxa" w:w="326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100 tons/day</w:t>
            </w:r>
          </w:p>
        </w:tc>
        <w:tc>
          <w:tcPr>
            <w:tcW w:type="dxa" w:w="326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300 tons/day (network)</w:t>
            </w:r>
          </w:p>
        </w:tc>
      </w:tr>
      <w:tr>
        <w:tc>
          <w:tcPr>
            <w:tcW w:type="dxa" w:w="32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bCs/>
                <w:color w:val="2D3748"/>
                <w:sz w:val="18"/>
                <w:szCs w:val="18"/>
              </w:rPr>
              <w:t xml:space="preserve">Operating Days</w:t>
            </w:r>
          </w:p>
        </w:tc>
        <w:tc>
          <w:tcPr>
            <w:tcW w:type="dxa" w:w="326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300/year</w:t>
            </w:r>
          </w:p>
        </w:tc>
        <w:tc>
          <w:tcPr>
            <w:tcW w:type="dxa" w:w="326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300/year</w:t>
            </w:r>
          </w:p>
        </w:tc>
      </w:tr>
      <w:tr>
        <w:tc>
          <w:tcPr>
            <w:tcW w:type="dxa" w:w="32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bCs/>
                <w:color w:val="2D3748"/>
                <w:sz w:val="18"/>
                <w:szCs w:val="18"/>
              </w:rPr>
              <w:t xml:space="preserve">Investor Equity Available</w:t>
            </w:r>
          </w:p>
        </w:tc>
        <w:tc>
          <w:tcPr>
            <w:tcW w:type="dxa" w:w="326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30%</w:t>
            </w:r>
          </w:p>
        </w:tc>
        <w:tc>
          <w:tcPr>
            <w:tcW w:type="dxa" w:w="326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30%</w:t>
            </w:r>
          </w:p>
        </w:tc>
      </w:tr>
      <w:tr>
        <w:tc>
          <w:tcPr>
            <w:tcW w:type="dxa" w:w="32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bCs/>
                <w:color w:val="2D3748"/>
                <w:sz w:val="18"/>
                <w:szCs w:val="18"/>
              </w:rPr>
              <w:t xml:space="preserve">Community Allocation</w:t>
            </w:r>
          </w:p>
        </w:tc>
        <w:tc>
          <w:tcPr>
            <w:tcW w:type="dxa" w:w="326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10% of equity</w:t>
            </w:r>
          </w:p>
        </w:tc>
        <w:tc>
          <w:tcPr>
            <w:tcW w:type="dxa" w:w="326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10% of equity</w:t>
            </w:r>
          </w:p>
        </w:tc>
      </w:tr>
    </w:tbl>
    <w:p>
      <w:pPr>
        <w:spacing w:after="0" w:before="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
        <w:gridCol w:w="9600"/>
      </w:tblGrid>
      <w:tr>
        <w:tc>
          <w:tcPr>
            <w:tcW w:type="dxa" w:w="120"/>
            <w:tcBorders>
              <w:top w:val="none" w:sz="0"/>
              <w:left w:val="single" w:color="C49A2A" w:sz="12"/>
              <w:bottom w:val="none" w:sz="0"/>
              <w:right w:val="none" w:sz="0"/>
            </w:tcBorders>
            <w:shd w:fill="E8F0FE" w:val="clear"/>
          </w:tcPr>
          <w:p/>
        </w:tc>
        <w:tc>
          <w:tcPr>
            <w:tcW w:type="dxa" w:w="9600"/>
            <w:tcBorders>
              <w:top w:val="none" w:sz="0"/>
              <w:left w:val="none" w:sz="0"/>
              <w:bottom w:val="none" w:sz="0"/>
              <w:right w:val="none" w:sz="0"/>
            </w:tcBorders>
            <w:shd w:fill="E8F0FE" w:val="clear"/>
            <w:tcMar>
              <w:top w:type="dxa" w:w="100"/>
              <w:left w:type="dxa" w:w="160"/>
              <w:bottom w:type="dxa" w:w="100"/>
              <w:right w:type="dxa" w:w="160"/>
            </w:tcMar>
          </w:tcPr>
          <w:p>
            <w:pPr>
              <w:spacing w:after="60" w:line="260"/>
            </w:pPr>
            <w:r>
              <w:rPr>
                <w:rFonts w:ascii="Arial" w:cs="Arial" w:eastAsia="Arial" w:hAnsi="Arial"/>
                <w:b w:val="false"/>
                <w:bCs w:val="false"/>
                <w:color w:val="2D3748"/>
                <w:sz w:val="20"/>
                <w:szCs w:val="20"/>
              </w:rPr>
              <w:t>Revenue model conservatism: Environmental and carbon credits ($35–$85/ton under 45Q), Renewable Identification Numbers (RINs), and material salvage recovery are excluded from base projections. These represent meaningful upside that improves as the regulatory framework for pyrolysis-derived fuels matures.</w:t>
            </w:r>
          </w:p>
          <w:p>
            <w:pPr>
              <w:spacing w:after="60" w:line="260"/>
            </w:pPr>
            <w:r>
              <w:rPr>
                <w:rFonts w:ascii="Arial" w:cs="Arial" w:eastAsia="Arial" w:hAnsi="Arial"/>
                <w:b w:val="false"/>
                <w:bCs w:val="false"/>
                <w:color w:val="2D3748"/>
                <w:sz w:val="20"/>
                <w:szCs w:val="20"/>
              </w:rPr>
              <w:t xml:space="preserve">The capital stack is designed to be layered — combining private investment with public grants, tax credits, brownfield incentives, and opportunity zone benefits to reduce net investor exposure while maintaining return targets.</w:t>
            </w:r>
          </w:p>
        </w:tc>
      </w:tr>
    </w:tbl>
    <w:p>
      <w:r>
        <w:br w:type="page"/>
      </w:r>
    </w:p>
    <w:p>
      <w:pPr>
        <w:pStyle w:val="Heading1"/>
        <w:spacing w:after="120" w:before="400"/>
      </w:pPr>
      <w:r>
        <w:rPr>
          <w:rFonts w:ascii="Arial" w:cs="Arial" w:eastAsia="Arial" w:hAnsi="Arial"/>
          <w:b/>
          <w:bCs/>
          <w:color w:val="1B3A5C"/>
          <w:sz w:val="28"/>
          <w:szCs w:val="28"/>
        </w:rPr>
        <w:t xml:space="preserve">Capital Stack &amp; Funding Pathways</w:t>
      </w:r>
    </w:p>
    <w:p>
      <w:pPr>
        <w:spacing w:after="120" w:before="0" w:line="276"/>
        <w:jc w:val="left"/>
      </w:pPr>
      <w:r>
        <w:rPr>
          <w:rFonts w:ascii="Arial" w:cs="Arial" w:eastAsia="Arial" w:hAnsi="Arial"/>
          <w:b w:val="false"/>
          <w:bCs w:val="false"/>
          <w:color w:val="2D3748"/>
          <w:sz w:val="22"/>
          <w:szCs w:val="22"/>
        </w:rPr>
        <w:t xml:space="preserve">The Michigan LTC Network is structured around a stacked, incentive-driven capital model. PublicLogic coordinates the grant stacking strategy, sequencing applications so each instrument reinforces eligibility for subsequent funding.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3520"/>
      </w:tblGrid>
      <w:tr>
        <w:tc>
          <w:tcPr>
            <w:tcW w:type="dxa" w:w="2400"/>
            <w:tcBorders>
              <w:top w:val="single" w:color="CBD5E0" w:sz="1"/>
              <w:left w:val="single" w:color="CBD5E0" w:sz="1"/>
              <w:bottom w:val="single" w:color="CBD5E0" w:sz="1"/>
              <w:right w:val="single" w:color="CBD5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Instrument</w:t>
            </w:r>
          </w:p>
        </w:tc>
        <w:tc>
          <w:tcPr>
            <w:tcW w:type="dxa" w:w="1400"/>
            <w:tcBorders>
              <w:top w:val="single" w:color="CBD5E0" w:sz="1"/>
              <w:left w:val="single" w:color="CBD5E0" w:sz="1"/>
              <w:bottom w:val="single" w:color="CBD5E0" w:sz="1"/>
              <w:right w:val="single" w:color="CBD5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00"/>
            <w:tcBorders>
              <w:top w:val="single" w:color="CBD5E0" w:sz="1"/>
              <w:left w:val="single" w:color="CBD5E0" w:sz="1"/>
              <w:bottom w:val="single" w:color="CBD5E0" w:sz="1"/>
              <w:right w:val="single" w:color="CBD5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Estimated Value</w:t>
            </w:r>
          </w:p>
        </w:tc>
        <w:tc>
          <w:tcPr>
            <w:tcW w:type="dxa" w:w="3520"/>
            <w:tcBorders>
              <w:top w:val="single" w:color="CBD5E0" w:sz="1"/>
              <w:left w:val="single" w:color="CBD5E0" w:sz="1"/>
              <w:bottom w:val="single" w:color="CBD5E0" w:sz="1"/>
              <w:right w:val="single" w:color="CBD5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Applicable Sites</w:t>
            </w:r>
          </w:p>
        </w:tc>
      </w:tr>
      <w:tr>
        <w:tc>
          <w:tcPr>
            <w:tcW w:type="dxa" w:w="24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bCs/>
                <w:color w:val="2D3748"/>
                <w:sz w:val="18"/>
                <w:szCs w:val="18"/>
              </w:rPr>
              <w:t xml:space="preserve">EGLE Scrap Tire Market Development</w:t>
            </w:r>
          </w:p>
        </w:tc>
        <w:tc>
          <w:tcPr>
            <w:tcW w:type="dxa" w:w="14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Grant</w:t>
            </w:r>
          </w:p>
        </w:tc>
        <w:tc>
          <w:tcPr>
            <w:tcW w:type="dxa" w:w="24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Up to 50% of eligible costs</w:t>
            </w:r>
          </w:p>
        </w:tc>
        <w:tc>
          <w:tcPr>
            <w:tcW w:type="dxa" w:w="352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Coldwater, Dort</w:t>
            </w:r>
          </w:p>
        </w:tc>
      </w:tr>
      <w:tr>
        <w:tc>
          <w:tcPr>
            <w:tcW w:type="dxa" w:w="24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bCs/>
                <w:color w:val="2D3748"/>
                <w:sz w:val="18"/>
                <w:szCs w:val="18"/>
              </w:rPr>
              <w:t xml:space="preserve">EPA Brownfield Cleanup &amp; Assessment</w:t>
            </w:r>
          </w:p>
        </w:tc>
        <w:tc>
          <w:tcPr>
            <w:tcW w:type="dxa" w:w="14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Grant</w:t>
            </w:r>
          </w:p>
        </w:tc>
        <w:tc>
          <w:tcPr>
            <w:tcW w:type="dxa" w:w="24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$500K–$2M</w:t>
            </w:r>
          </w:p>
        </w:tc>
        <w:tc>
          <w:tcPr>
            <w:tcW w:type="dxa" w:w="352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Dort Highway</w:t>
            </w:r>
          </w:p>
        </w:tc>
      </w:tr>
      <w:tr>
        <w:tc>
          <w:tcPr>
            <w:tcW w:type="dxa" w:w="24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bCs/>
                <w:color w:val="2D3748"/>
                <w:sz w:val="18"/>
                <w:szCs w:val="18"/>
              </w:rPr>
              <w:t xml:space="preserve">New Markets Tax Credits</w:t>
            </w:r>
          </w:p>
        </w:tc>
        <w:tc>
          <w:tcPr>
            <w:tcW w:type="dxa" w:w="14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Tax Credit</w:t>
            </w:r>
          </w:p>
        </w:tc>
        <w:tc>
          <w:tcPr>
            <w:tcW w:type="dxa" w:w="24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39% over 7 years</w:t>
            </w:r>
          </w:p>
        </w:tc>
        <w:tc>
          <w:tcPr>
            <w:tcW w:type="dxa" w:w="352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Flint sites</w:t>
            </w:r>
          </w:p>
        </w:tc>
      </w:tr>
      <w:tr>
        <w:tc>
          <w:tcPr>
            <w:tcW w:type="dxa" w:w="24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bCs/>
                <w:color w:val="2D3748"/>
                <w:sz w:val="18"/>
                <w:szCs w:val="18"/>
              </w:rPr>
              <w:t xml:space="preserve">Opportunity Zone (26 USC 1400Z)</w:t>
            </w:r>
          </w:p>
        </w:tc>
        <w:tc>
          <w:tcPr>
            <w:tcW w:type="dxa" w:w="14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Tax Deferral</w:t>
            </w:r>
          </w:p>
        </w:tc>
        <w:tc>
          <w:tcPr>
            <w:tcW w:type="dxa" w:w="24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Capital gains deferral/elimination</w:t>
            </w:r>
          </w:p>
        </w:tc>
        <w:tc>
          <w:tcPr>
            <w:tcW w:type="dxa" w:w="352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Flint sites (verify tract)</w:t>
            </w:r>
          </w:p>
        </w:tc>
      </w:tr>
      <w:tr>
        <w:tc>
          <w:tcPr>
            <w:tcW w:type="dxa" w:w="24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bCs/>
                <w:color w:val="2D3748"/>
                <w:sz w:val="18"/>
                <w:szCs w:val="18"/>
              </w:rPr>
              <w:t xml:space="preserve">45Q Carbon Capture Credits</w:t>
            </w:r>
          </w:p>
        </w:tc>
        <w:tc>
          <w:tcPr>
            <w:tcW w:type="dxa" w:w="14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Tax Credit</w:t>
            </w:r>
          </w:p>
        </w:tc>
        <w:tc>
          <w:tcPr>
            <w:tcW w:type="dxa" w:w="24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$35–$85/ton CO₂</w:t>
            </w:r>
          </w:p>
        </w:tc>
        <w:tc>
          <w:tcPr>
            <w:tcW w:type="dxa" w:w="352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All sites</w:t>
            </w:r>
          </w:p>
        </w:tc>
      </w:tr>
      <w:tr>
        <w:tc>
          <w:tcPr>
            <w:tcW w:type="dxa" w:w="24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bCs/>
                <w:color w:val="2D3748"/>
                <w:sz w:val="18"/>
                <w:szCs w:val="18"/>
              </w:rPr>
              <w:t xml:space="preserve">USDA REAP</w:t>
            </w:r>
          </w:p>
        </w:tc>
        <w:tc>
          <w:tcPr>
            <w:tcW w:type="dxa" w:w="14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Grant/Loan Guarantee</w:t>
            </w:r>
          </w:p>
        </w:tc>
        <w:tc>
          <w:tcPr>
            <w:tcW w:type="dxa" w:w="24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Up to $1M grant</w:t>
            </w:r>
          </w:p>
        </w:tc>
        <w:tc>
          <w:tcPr>
            <w:tcW w:type="dxa" w:w="352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Coleman</w:t>
            </w:r>
          </w:p>
        </w:tc>
      </w:tr>
      <w:tr>
        <w:tc>
          <w:tcPr>
            <w:tcW w:type="dxa" w:w="24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bCs/>
                <w:color w:val="2D3748"/>
                <w:sz w:val="18"/>
                <w:szCs w:val="18"/>
              </w:rPr>
              <w:t xml:space="preserve">USDA B&amp;I Guaranteed Loans</w:t>
            </w:r>
          </w:p>
        </w:tc>
        <w:tc>
          <w:tcPr>
            <w:tcW w:type="dxa" w:w="14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Loan Guarantee</w:t>
            </w:r>
          </w:p>
        </w:tc>
        <w:tc>
          <w:tcPr>
            <w:tcW w:type="dxa" w:w="24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Up to $25M</w:t>
            </w:r>
          </w:p>
        </w:tc>
        <w:tc>
          <w:tcPr>
            <w:tcW w:type="dxa" w:w="352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Coleman</w:t>
            </w:r>
          </w:p>
        </w:tc>
      </w:tr>
      <w:tr>
        <w:tc>
          <w:tcPr>
            <w:tcW w:type="dxa" w:w="24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bCs/>
                <w:color w:val="2D3748"/>
                <w:sz w:val="18"/>
                <w:szCs w:val="18"/>
              </w:rPr>
              <w:t xml:space="preserve">Brownfield TIF (Act 381)</w:t>
            </w:r>
          </w:p>
        </w:tc>
        <w:tc>
          <w:tcPr>
            <w:tcW w:type="dxa" w:w="14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Tax Increment Financing</w:t>
            </w:r>
          </w:p>
        </w:tc>
        <w:tc>
          <w:tcPr>
            <w:tcW w:type="dxa" w:w="24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Varies</w:t>
            </w:r>
          </w:p>
        </w:tc>
        <w:tc>
          <w:tcPr>
            <w:tcW w:type="dxa" w:w="352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Coldwater, Dort</w:t>
            </w:r>
          </w:p>
        </w:tc>
      </w:tr>
      <w:tr>
        <w:tc>
          <w:tcPr>
            <w:tcW w:type="dxa" w:w="24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bCs/>
                <w:color w:val="2D3748"/>
                <w:sz w:val="18"/>
                <w:szCs w:val="18"/>
              </w:rPr>
              <w:t xml:space="preserve">NextCycle MI Circular Economy</w:t>
            </w:r>
          </w:p>
        </w:tc>
        <w:tc>
          <w:tcPr>
            <w:tcW w:type="dxa" w:w="14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Grant</w:t>
            </w:r>
          </w:p>
        </w:tc>
        <w:tc>
          <w:tcPr>
            <w:tcW w:type="dxa" w:w="24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$50K–$250K</w:t>
            </w:r>
          </w:p>
        </w:tc>
        <w:tc>
          <w:tcPr>
            <w:tcW w:type="dxa" w:w="352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All sites (applied Mar 2026)</w:t>
            </w:r>
          </w:p>
        </w:tc>
      </w:tr>
      <w:tr>
        <w:tc>
          <w:tcPr>
            <w:tcW w:type="dxa" w:w="24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bCs/>
                <w:color w:val="2D3748"/>
                <w:sz w:val="18"/>
                <w:szCs w:val="18"/>
              </w:rPr>
              <w:t xml:space="preserve">EDA Public Works</w:t>
            </w:r>
          </w:p>
        </w:tc>
        <w:tc>
          <w:tcPr>
            <w:tcW w:type="dxa" w:w="14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Grant</w:t>
            </w:r>
          </w:p>
        </w:tc>
        <w:tc>
          <w:tcPr>
            <w:tcW w:type="dxa" w:w="24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Up to $3M</w:t>
            </w:r>
          </w:p>
        </w:tc>
        <w:tc>
          <w:tcPr>
            <w:tcW w:type="dxa" w:w="352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All sites</w:t>
            </w:r>
          </w:p>
        </w:tc>
      </w:tr>
    </w:tbl>
    <w:p>
      <w:r>
        <w:br w:type="page"/>
      </w:r>
    </w:p>
    <w:p>
      <w:pPr>
        <w:pStyle w:val="Heading1"/>
        <w:spacing w:after="120" w:before="400"/>
      </w:pPr>
      <w:r>
        <w:rPr>
          <w:rFonts w:ascii="Arial" w:cs="Arial" w:eastAsia="Arial" w:hAnsi="Arial"/>
          <w:b/>
          <w:bCs/>
          <w:color w:val="1B3A5C"/>
          <w:sz w:val="28"/>
          <w:szCs w:val="28"/>
        </w:rPr>
        <w:t xml:space="preserve">The Team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720"/>
        <w:gridCol w:w="5000"/>
      </w:tblGrid>
      <w:tr>
        <w:tc>
          <w:tcPr>
            <w:tcW w:type="dxa" w:w="2000"/>
            <w:tcBorders>
              <w:top w:val="single" w:color="CBD5E0" w:sz="1"/>
              <w:left w:val="single" w:color="CBD5E0" w:sz="1"/>
              <w:bottom w:val="single" w:color="CBD5E0" w:sz="1"/>
              <w:right w:val="single" w:color="CBD5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Organization</w:t>
            </w:r>
          </w:p>
        </w:tc>
        <w:tc>
          <w:tcPr>
            <w:tcW w:type="dxa" w:w="2720"/>
            <w:tcBorders>
              <w:top w:val="single" w:color="CBD5E0" w:sz="1"/>
              <w:left w:val="single" w:color="CBD5E0" w:sz="1"/>
              <w:bottom w:val="single" w:color="CBD5E0" w:sz="1"/>
              <w:right w:val="single" w:color="CBD5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Personnel</w:t>
            </w:r>
          </w:p>
        </w:tc>
        <w:tc>
          <w:tcPr>
            <w:tcW w:type="dxa" w:w="5000"/>
            <w:tcBorders>
              <w:top w:val="single" w:color="CBD5E0" w:sz="1"/>
              <w:left w:val="single" w:color="CBD5E0" w:sz="1"/>
              <w:bottom w:val="single" w:color="CBD5E0" w:sz="1"/>
              <w:right w:val="single" w:color="CBD5E0"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Role</w:t>
            </w:r>
          </w:p>
        </w:tc>
      </w:tr>
      <w:tr>
        <w:tc>
          <w:tcPr>
            <w:tcW w:type="dxa" w:w="20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bCs/>
                <w:color w:val="2D3748"/>
                <w:sz w:val="18"/>
                <w:szCs w:val="18"/>
              </w:rPr>
              <w:t xml:space="preserve">E.M.&amp;S. Inc.</w:t>
            </w:r>
          </w:p>
        </w:tc>
        <w:tc>
          <w:tcPr>
            <w:tcW w:type="dxa" w:w="272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Robert C. McCall Jr. (Project Executive), Garrett Schopp, Atty. Mike Smith</w:t>
            </w:r>
          </w:p>
        </w:tc>
        <w:tc>
          <w:tcPr>
            <w:tcW w:type="dxa" w:w="50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Development entity; investor relations; community engagement; EM&amp;S is the coordinating platform, not an operating company — execution is distributed to specialist partners</w:t>
            </w:r>
          </w:p>
        </w:tc>
      </w:tr>
      <w:tr>
        <w:tc>
          <w:tcPr>
            <w:tcW w:type="dxa" w:w="20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bCs/>
                <w:color w:val="2D3748"/>
                <w:sz w:val="18"/>
                <w:szCs w:val="18"/>
              </w:rPr>
              <w:t xml:space="preserve">WasteWerx LLC</w:t>
            </w:r>
          </w:p>
        </w:tc>
        <w:tc>
          <w:tcPr>
            <w:tcW w:type="dxa" w:w="272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JT Clark (CEO), Vinnie Fisio (COO), Es Rodriguez (CTO)</w:t>
            </w:r>
          </w:p>
        </w:tc>
        <w:tc>
          <w:tcPr>
            <w:tcW w:type="dxa" w:w="50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OEM pyrolysis equipment; proprietary IP; system deployment and training</w:t>
            </w:r>
          </w:p>
        </w:tc>
      </w:tr>
      <w:tr>
        <w:tc>
          <w:tcPr>
            <w:tcW w:type="dxa" w:w="20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bCs/>
                <w:color w:val="2D3748"/>
                <w:sz w:val="18"/>
                <w:szCs w:val="18"/>
              </w:rPr>
              <w:t xml:space="preserve">Carbon Alliance Group</w:t>
            </w:r>
          </w:p>
        </w:tc>
        <w:tc>
          <w:tcPr>
            <w:tcW w:type="dxa" w:w="272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Glen Scharer (President)</w:t>
            </w:r>
          </w:p>
        </w:tc>
        <w:tc>
          <w:tcPr>
            <w:tcW w:type="dxa" w:w="50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Project coordination; developer relations; introduced PublicLogic to EM&amp;S and WasteWerx</w:t>
            </w:r>
          </w:p>
        </w:tc>
      </w:tr>
      <w:tr>
        <w:tc>
          <w:tcPr>
            <w:tcW w:type="dxa" w:w="20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bCs/>
                <w:color w:val="2D3748"/>
                <w:sz w:val="18"/>
                <w:szCs w:val="18"/>
              </w:rPr>
              <w:t xml:space="preserve">National Salvage &amp; Service Corp.</w:t>
            </w:r>
          </w:p>
        </w:tc>
        <w:tc>
          <w:tcPr>
            <w:tcW w:type="dxa" w:w="272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Garrett Schopp (dual role: EM&amp;S co-founder + NSSC)</w:t>
            </w:r>
          </w:p>
        </w:tc>
        <w:tc>
          <w:tcPr>
            <w:tcW w:type="dxa" w:w="50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Feedstock supply; largest treated-wood recycler in the US; operates McBain (20 MW) and Lincoln (~18 MW) biomass plants for Consumers Energy</w:t>
            </w:r>
          </w:p>
        </w:tc>
      </w:tr>
      <w:tr>
        <w:tc>
          <w:tcPr>
            <w:tcW w:type="dxa" w:w="20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bCs/>
                <w:color w:val="2D3748"/>
                <w:sz w:val="18"/>
                <w:szCs w:val="18"/>
              </w:rPr>
              <w:t>Geocycle LLC</w:t>
            </w:r>
          </w:p>
        </w:tc>
        <w:tc>
          <w:tcPr>
            <w:tcW w:type="dxa" w:w="272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Paolo Carollo (Director)</w:t>
            </w:r>
          </w:p>
        </w:tc>
        <w:tc>
          <w:tcPr>
            <w:tcW w:type="dxa" w:w="50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Coleman co-location; Michigan's largest tire recycler; 22K ton/yr TDF to Alpena cement kiln; formal letter of support 1/26/26</w:t>
            </w:r>
          </w:p>
        </w:tc>
      </w:tr>
      <w:tr>
        <w:tc>
          <w:tcPr>
            <w:tcW w:type="dxa" w:w="20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bCs/>
                <w:color w:val="2D3748"/>
                <w:sz w:val="18"/>
                <w:szCs w:val="18"/>
              </w:rPr>
              <w:t xml:space="preserve">E.R.R. Inc.</w:t>
            </w:r>
          </w:p>
        </w:tc>
        <w:tc>
          <w:tcPr>
            <w:tcW w:type="dxa" w:w="272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Material Supplier</w:t>
            </w:r>
          </w:p>
        </w:tc>
        <w:tc>
          <w:tcPr>
            <w:tcW w:type="dxa" w:w="50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Dort Highway feedstock: 100 TPD, $25/ton, 10-year guaranteed supply</w:t>
            </w:r>
          </w:p>
        </w:tc>
      </w:tr>
      <w:tr>
        <w:tc>
          <w:tcPr>
            <w:tcW w:type="dxa" w:w="20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bCs/>
                <w:color w:val="2D3748"/>
                <w:sz w:val="18"/>
                <w:szCs w:val="18"/>
              </w:rPr>
              <w:t>Lake State Railway</w:t>
            </w:r>
          </w:p>
        </w:tc>
        <w:tc>
          <w:tcPr>
            <w:tcW w:type="dxa" w:w="272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Common Carrier</w:t>
            </w:r>
          </w:p>
        </w:tc>
        <w:tc>
          <w:tcPr>
            <w:tcW w:type="dxa" w:w="50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Rail logistics for Coldwater Road (4,570 ft frontage) and Dort Highway</w:t>
            </w:r>
          </w:p>
        </w:tc>
      </w:tr>
      <w:tr>
        <w:tc>
          <w:tcPr>
            <w:tcW w:type="dxa" w:w="20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bCs/>
                <w:color w:val="2D3748"/>
                <w:sz w:val="18"/>
                <w:szCs w:val="18"/>
              </w:rPr>
              <w:t xml:space="preserve">PublicLogic LLC</w:t>
            </w:r>
          </w:p>
        </w:tc>
        <w:tc>
          <w:tcPr>
            <w:tcW w:type="dxa" w:w="272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Nathan Boudreau, MPA, MCPPO; Dr. Allison Weiss Rothschild</w:t>
            </w:r>
          </w:p>
        </w:tc>
        <w:tc>
          <w:tcPr>
            <w:tcW w:type="dxa" w:w="50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Governance and compliance infrastructure; VAULT framework; grant stacking; permit coordination; investor-ready documentation</w:t>
            </w:r>
          </w:p>
        </w:tc>
      </w:tr>
      <w:tr>
        <w:tc>
          <w:tcPr>
            <w:tcW w:type="dxa" w:w="20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bCs/>
                <w:color w:val="2D3748"/>
                <w:sz w:val="18"/>
                <w:szCs w:val="18"/>
              </w:rPr>
              <w:t xml:space="preserve">The Warehouse / Gen 215</w:t>
            </w:r>
          </w:p>
        </w:tc>
        <w:tc>
          <w:tcPr>
            <w:tcW w:type="dxa" w:w="272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Nonprofit Partner</w:t>
            </w:r>
          </w:p>
        </w:tc>
        <w:tc>
          <w:tcPr>
            <w:tcW w:type="dxa" w:w="5000"/>
            <w:tcBorders>
              <w:top w:val="single" w:color="CBD5E0" w:sz="1"/>
              <w:left w:val="single" w:color="CBD5E0" w:sz="1"/>
              <w:bottom w:val="single" w:color="CBD5E0" w:sz="1"/>
              <w:right w:val="single" w:color="CBD5E0" w:sz="1"/>
            </w:tcBorders>
            <w:shd w:fill="F7FAFC" w:val="clear"/>
            <w:tcMar>
              <w:top w:type="dxa" w:w="50"/>
              <w:left w:type="dxa" w:w="100"/>
              <w:bottom w:type="dxa" w:w="50"/>
              <w:right w:type="dxa" w:w="100"/>
            </w:tcMar>
          </w:tcPr>
          <w:p>
            <w:r>
              <w:rPr>
                <w:rFonts w:ascii="Arial" w:cs="Arial" w:eastAsia="Arial" w:hAnsi="Arial"/>
                <w:b w:val="false"/>
                <w:bCs w:val="false"/>
                <w:color w:val="2D3748"/>
                <w:sz w:val="18"/>
                <w:szCs w:val="18"/>
              </w:rPr>
              <w:t xml:space="preserve">Community resource center; family services; local food production (Flint)</w:t>
            </w:r>
          </w:p>
        </w:tc>
      </w:tr>
      <w:tr>
        <w:tc>
          <w:tcPr>
            <w:tcW w:type="dxa" w:w="20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bCs/>
                <w:color w:val="2D3748"/>
                <w:sz w:val="18"/>
                <w:szCs w:val="18"/>
              </w:rPr>
              <w:t xml:space="preserve">ACS Cooperative</w:t>
            </w:r>
          </w:p>
        </w:tc>
        <w:tc>
          <w:tcPr>
            <w:tcW w:type="dxa" w:w="272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Frank Marco</w:t>
            </w:r>
          </w:p>
        </w:tc>
        <w:tc>
          <w:tcPr>
            <w:tcW w:type="dxa" w:w="5000"/>
            <w:tcBorders>
              <w:top w:val="single" w:color="CBD5E0" w:sz="1"/>
              <w:left w:val="single" w:color="CBD5E0" w:sz="1"/>
              <w:bottom w:val="single" w:color="CBD5E0" w:sz="1"/>
              <w:right w:val="single" w:color="CBD5E0" w:sz="1"/>
            </w:tcBorders>
            <w:shd w:fill="FFFFFF" w:val="clear"/>
            <w:tcMar>
              <w:top w:type="dxa" w:w="50"/>
              <w:left w:type="dxa" w:w="100"/>
              <w:bottom w:type="dxa" w:w="50"/>
              <w:right w:type="dxa" w:w="100"/>
            </w:tcMar>
          </w:tcPr>
          <w:p>
            <w:r>
              <w:rPr>
                <w:rFonts w:ascii="Arial" w:cs="Arial" w:eastAsia="Arial" w:hAnsi="Arial"/>
                <w:b w:val="false"/>
                <w:bCs w:val="false"/>
                <w:color w:val="2D3748"/>
                <w:sz w:val="18"/>
                <w:szCs w:val="18"/>
              </w:rPr>
              <w:t xml:space="preserve">Hydroponic/aquaponic agriculture; University of Arizona research partnership</w:t>
            </w:r>
          </w:p>
        </w:tc>
      </w:tr>
    </w:tbl>
    <w:p>
      <w:pPr>
        <w:spacing w:after="0" w:before="100"/>
      </w:pPr>
    </w:p>
    <w:p>
      <w:pPr>
        <w:pStyle w:val="Heading2"/>
        <w:spacing w:after="120" w:before="260"/>
      </w:pPr>
      <w:r>
        <w:rPr>
          <w:rFonts w:ascii="Arial" w:cs="Arial" w:eastAsia="Arial" w:hAnsi="Arial"/>
          <w:b/>
          <w:bCs/>
          <w:color w:val="1B3A5C"/>
          <w:sz w:val="24"/>
          <w:szCs w:val="24"/>
        </w:rPr>
        <w:t xml:space="preserve">Letters of Support &amp; External Validation</w:t>
      </w:r>
    </w:p>
    <w:p>
      <w:pPr>
        <w:spacing w:after="120" w:before="0" w:line="276"/>
        <w:jc w:val="left"/>
      </w:pPr>
      <w:r>
        <w:rPr>
          <w:rFonts w:ascii="Arial" w:cs="Arial" w:eastAsia="Arial" w:hAnsi="Arial"/>
          <w:b/>
          <w:bCs/>
          <w:color w:val="2D3748"/>
          <w:sz w:val="22"/>
          <w:szCs w:val="22"/>
        </w:rPr>
        <w:t xml:space="preserve">Geocycle LLC </w:t>
      </w:r>
      <w:r>
        <w:rPr>
          <w:rFonts w:ascii="Arial" w:cs="Arial" w:eastAsia="Arial" w:hAnsi="Arial"/>
          <w:b w:val="false"/>
          <w:bCs w:val="false"/>
          <w:color w:val="2D3748"/>
          <w:sz w:val="22"/>
          <w:szCs w:val="22"/>
        </w:rPr>
        <w:t xml:space="preserve">(Paolo Carollo, Director) — Formal letter of support for NextCycle Michigan grant, January 26, 2026. Describes the Coleman–Flint corridor as "a compelling opportunity to demonstrate how coordinated materials recovery and circular manufacturing can deliver measurable environmental, economic, and community benefits."</w:t>
      </w:r>
    </w:p>
    <w:p>
      <w:pPr>
        <w:spacing w:after="120" w:before="0" w:line="276"/>
        <w:jc w:val="left"/>
      </w:pPr>
      <w:r>
        <w:rPr>
          <w:rFonts w:ascii="Arial" w:cs="Arial" w:eastAsia="Arial" w:hAnsi="Arial"/>
          <w:b/>
          <w:bCs/>
          <w:color w:val="2D3748"/>
          <w:sz w:val="22"/>
          <w:szCs w:val="22"/>
        </w:rPr>
        <w:t xml:space="preserve">University of Arizona </w:t>
      </w:r>
      <w:r>
        <w:rPr>
          <w:rFonts w:ascii="Arial" w:cs="Arial" w:eastAsia="Arial" w:hAnsi="Arial"/>
          <w:b w:val="false"/>
          <w:bCs w:val="false"/>
          <w:color w:val="2D3748"/>
          <w:sz w:val="22"/>
          <w:szCs w:val="22"/>
        </w:rPr>
        <w:t xml:space="preserve">(Dr. Joel L. Cuello, Ph.D., Professor of Biosystems Engineering) — Letter expressing "strongest and unequivocal support," February 10, 2026. Dr. Cuello brings 38 years of research in sustainable biological systems and is Chair of the Scientific Advisory Board for the International Association for Vertical Farming. His endorsement connects directly to the ACS Cooperative's aquaponic community programming.</w:t>
      </w:r>
    </w:p>
    <w:p>
      <w:pPr>
        <w:spacing w:after="120" w:before="0" w:line="276"/>
        <w:jc w:val="left"/>
      </w:pPr>
      <w:r>
        <w:rPr>
          <w:rFonts w:ascii="Arial" w:cs="Arial" w:eastAsia="Arial" w:hAnsi="Arial"/>
          <w:b/>
          <w:bCs/>
          <w:color w:val="2D3748"/>
          <w:sz w:val="22"/>
          <w:szCs w:val="22"/>
        </w:rPr>
        <w:t xml:space="preserve">Acadia Capital Management </w:t>
      </w:r>
      <w:r>
        <w:rPr>
          <w:rFonts w:ascii="Arial" w:cs="Arial" w:eastAsia="Arial" w:hAnsi="Arial"/>
          <w:b w:val="false"/>
          <w:bCs w:val="false"/>
          <w:color w:val="2D3748"/>
          <w:sz w:val="22"/>
          <w:szCs w:val="22"/>
        </w:rPr>
        <w:t xml:space="preserve">(Brien Walton, J.D., Ed.D.) — Advisory validation, May 8, 2026. Walton independently assessed the project structure and identified "governance and ownership structure that clearly delineates operational control, development rights, intellectual property considerations, revenue participation, and long-term community benefit objectives" as the critical success factor. This is a direct endorsement of PublicLogic's role in the network.</w:t>
      </w:r>
    </w:p>
    <w:p>
      <w:r>
        <w:br w:type="page"/>
      </w:r>
    </w:p>
    <w:p>
      <w:pPr>
        <w:pStyle w:val="Heading1"/>
        <w:spacing w:after="120" w:before="400"/>
      </w:pPr>
      <w:r>
        <w:rPr>
          <w:rFonts w:ascii="Arial" w:cs="Arial" w:eastAsia="Arial" w:hAnsi="Arial"/>
          <w:b/>
          <w:bCs/>
          <w:color w:val="1B3A5C"/>
          <w:sz w:val="28"/>
          <w:szCs w:val="28"/>
        </w:rPr>
        <w:t xml:space="preserve">Governance Infrastructure</w:t>
      </w:r>
    </w:p>
    <w:p>
      <w:pPr>
        <w:spacing w:after="120" w:before="0" w:line="276"/>
        <w:jc w:val="left"/>
      </w:pPr>
      <w:r>
        <w:rPr>
          <w:rFonts w:ascii="Arial" w:cs="Arial" w:eastAsia="Arial" w:hAnsi="Arial"/>
          <w:b/>
          <w:bCs/>
          <w:color w:val="2D3748"/>
          <w:sz w:val="22"/>
          <w:szCs w:val="22"/>
        </w:rPr>
        <w:t xml:space="preserve">The problem this solves: </w:t>
      </w:r>
      <w:r>
        <w:rPr>
          <w:rFonts w:ascii="Arial" w:cs="Arial" w:eastAsia="Arial" w:hAnsi="Arial"/>
          <w:b w:val="false"/>
          <w:bCs w:val="false"/>
          <w:color w:val="2D3748"/>
          <w:sz w:val="22"/>
          <w:szCs w:val="22"/>
        </w:rPr>
        <w:t xml:space="preserve">Multi-site, multi-partner industrial projects fail not because of technology but because of institutional fragility. Knowledge lives in individuals. Compliance deadlines get missed. Revenue distributions are disputed. Community commitments erode. Leadership transitions break continuity. A 25-year project cannot survive on relationships alone.</w:t>
      </w:r>
    </w:p>
    <w:p>
      <w:pPr>
        <w:spacing w:after="120" w:before="0" w:line="276"/>
        <w:jc w:val="left"/>
      </w:pPr>
      <w:r>
        <w:rPr>
          <w:rFonts w:ascii="Arial" w:cs="Arial" w:eastAsia="Arial" w:hAnsi="Arial"/>
          <w:b/>
          <w:bCs/>
          <w:color w:val="2D3748"/>
          <w:sz w:val="22"/>
          <w:szCs w:val="22"/>
        </w:rPr>
        <w:t xml:space="preserve">What PublicLogic delivers: </w:t>
      </w:r>
      <w:r>
        <w:rPr>
          <w:rFonts w:ascii="Arial" w:cs="Arial" w:eastAsia="Arial" w:hAnsi="Arial"/>
          <w:b w:val="false"/>
          <w:bCs w:val="false"/>
          <w:color w:val="2D3748"/>
          <w:sz w:val="22"/>
          <w:szCs w:val="22"/>
        </w:rPr>
        <w:t xml:space="preserve">PublicLogic builds and maintains the operational compliance infrastructure that holds multi-site, multi-partner projects together over time. We track every permit, deadline, submission, and authority chain across the network. The system is designed to survive leadership transitions, partner changes, and regulatory evolution — because a 25-year project cannot run on institutional memory alone.</w:t>
      </w:r>
    </w:p>
    <w:p>
      <w:pPr>
        <w:spacing w:after="0" w:before="60"/>
      </w:pPr>
    </w:p>
    <w:p>
      <w:pPr>
        <w:pStyle w:val="Heading2"/>
        <w:spacing w:after="120" w:before="260"/>
      </w:pPr>
      <w:r>
        <w:rPr>
          <w:rFonts w:ascii="Arial" w:cs="Arial" w:eastAsia="Arial" w:hAnsi="Arial"/>
          <w:b/>
          <w:bCs/>
          <w:color w:val="1B3A5C"/>
          <w:sz w:val="24"/>
          <w:szCs w:val="24"/>
        </w:rPr>
        <w:t xml:space="preserve">VAULT Framework Assessment</w:t>
      </w:r>
    </w:p>
    <w:p>
      <w:pPr>
        <w:spacing w:after="120" w:before="0" w:line="276"/>
        <w:jc w:val="left"/>
      </w:pPr>
      <w:r>
        <w:rPr>
          <w:rFonts w:ascii="Arial" w:cs="Arial" w:eastAsia="Arial" w:hAnsi="Arial"/>
          <w:b w:val="false"/>
          <w:bCs w:val="false"/>
          <w:color w:val="2D3748"/>
          <w:sz w:val="22"/>
          <w:szCs w:val="22"/>
        </w:rPr>
        <w:t xml:space="preserve">PublicLogic conducted a VAULT assessment (Verification, Authority, Utility, Legitimacy, Transfer) across all project documents, call transcripts, and regulatory filings. The assessment identified 14 action items — 5 critical, 5 high-priority, 4 medium — and is resolving them in real time as part of the Phase 1 engagement.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
        <w:gridCol w:w="9600"/>
      </w:tblGrid>
      <w:tr>
        <w:tc>
          <w:tcPr>
            <w:tcW w:type="dxa" w:w="120"/>
            <w:tcBorders>
              <w:top w:val="none" w:sz="0"/>
              <w:left w:val="single" w:color="C49A2A" w:sz="12"/>
              <w:bottom w:val="none" w:sz="0"/>
              <w:right w:val="none" w:sz="0"/>
            </w:tcBorders>
            <w:shd w:fill="E8F0FE" w:val="clear"/>
          </w:tcPr>
          <w:p/>
        </w:tc>
        <w:tc>
          <w:tcPr>
            <w:tcW w:type="dxa" w:w="9600"/>
            <w:tcBorders>
              <w:top w:val="none" w:sz="0"/>
              <w:left w:val="none" w:sz="0"/>
              <w:bottom w:val="none" w:sz="0"/>
              <w:right w:val="none" w:sz="0"/>
            </w:tcBorders>
            <w:shd w:fill="E8F0FE" w:val="clear"/>
            <w:tcMar>
              <w:top w:type="dxa" w:w="100"/>
              <w:left w:type="dxa" w:w="160"/>
              <w:bottom w:type="dxa" w:w="100"/>
              <w:right w:type="dxa" w:w="160"/>
            </w:tcMar>
          </w:tcPr>
          <w:p>
            <w:pPr>
              <w:spacing w:after="60" w:line="260"/>
            </w:pPr>
            <w:r>
              <w:rPr>
                <w:rFonts w:ascii="Arial" w:cs="Arial" w:eastAsia="Arial" w:hAnsi="Arial"/>
                <w:b w:val="false"/>
                <w:bCs w:val="false"/>
                <w:color w:val="2D3748"/>
                <w:sz w:val="20"/>
                <w:szCs w:val="20"/>
              </w:rPr>
              <w:t xml:space="preserve">This is the value proposition: PublicLogic identified structural gaps in financial reconciliation, corporate authority, securities compliance, permit readiness, and institutional continuity before they became problems visible to regulators, investors, or partners. The governance framework is not an add-on. It is the infrastructure that makes the capital raise closeable, the permits defensible, and the community commitments durable.</w:t>
            </w:r>
          </w:p>
        </w:tc>
      </w:tr>
    </w:tbl>
    <w:p>
      <w:pPr>
        <w:spacing w:after="0" w:before="60"/>
      </w:pPr>
    </w:p>
    <w:p>
      <w:pPr>
        <w:pStyle w:val="Heading2"/>
        <w:spacing w:after="120" w:before="260"/>
      </w:pPr>
      <w:r>
        <w:rPr>
          <w:rFonts w:ascii="Arial" w:cs="Arial" w:eastAsia="Arial" w:hAnsi="Arial"/>
          <w:b/>
          <w:bCs/>
          <w:color w:val="1B3A5C"/>
          <w:sz w:val="24"/>
          <w:szCs w:val="24"/>
        </w:rPr>
        <w:t xml:space="preserve">Regulatory Pathway</w:t>
      </w:r>
    </w:p>
    <w:p>
      <w:pPr>
        <w:spacing w:after="120" w:before="0" w:line="276"/>
        <w:jc w:val="left"/>
      </w:pPr>
      <w:r>
        <w:rPr>
          <w:rFonts w:ascii="Arial" w:cs="Arial" w:eastAsia="Arial" w:hAnsi="Arial"/>
          <w:b w:val="false"/>
          <w:bCs w:val="false"/>
          <w:color w:val="2D3748"/>
          <w:sz w:val="22"/>
          <w:szCs w:val="22"/>
        </w:rPr>
        <w:t xml:space="preserve">A compliant Michigan tire-to-commodity facility requires at minimum eight EGLE-administered authorizations, with penalty exposure of up to $10,000 per day per violation. PublicLogic maintains the Permit Register, Compliance Calendar, Document Chain of Custody, Inspection Readiness Protocol, and Environmental Justice engagement posture for all three sites through our compliance tracking system. The Coldwater Road site's NFA-with-controls status provides a substantially pre-cleared environmental baseline; the Dort Highway and Coleman sites require standard permitting sequences that PublicLogic has already mapped.</w:t>
      </w:r>
    </w:p>
    <w:p>
      <w:r>
        <w:br w:type="page"/>
      </w:r>
    </w:p>
    <w:p>
      <w:pPr>
        <w:pStyle w:val="Heading1"/>
        <w:spacing w:after="120" w:before="400"/>
      </w:pPr>
      <w:r>
        <w:rPr>
          <w:rFonts w:ascii="Arial" w:cs="Arial" w:eastAsia="Arial" w:hAnsi="Arial"/>
          <w:b/>
          <w:bCs/>
          <w:color w:val="1B3A5C"/>
          <w:sz w:val="28"/>
          <w:szCs w:val="28"/>
        </w:rPr>
        <w:t xml:space="preserve">Community Impact Model</w:t>
      </w:r>
    </w:p>
    <w:p>
      <w:pPr>
        <w:spacing w:after="120" w:before="0" w:line="276"/>
        <w:jc w:val="left"/>
      </w:pPr>
      <w:r>
        <w:rPr>
          <w:rFonts w:ascii="Arial" w:cs="Arial" w:eastAsia="Arial" w:hAnsi="Arial"/>
          <w:b w:val="false"/>
          <w:bCs w:val="false"/>
          <w:color w:val="2D3748"/>
          <w:sz w:val="22"/>
          <w:szCs w:val="22"/>
        </w:rPr>
        <w:t xml:space="preserve">Ten percent of project equity is directed to community engagement through two established nonprofit partners. This is not corporate social responsibility — it is structurally embedded in the platform design and will be encoded in operating agreements with documented distribution mechanisms.</w:t>
      </w:r>
    </w:p>
    <w:p>
      <w:pPr>
        <w:spacing w:after="120" w:before="0" w:line="276"/>
        <w:jc w:val="left"/>
      </w:pPr>
      <w:r>
        <w:rPr>
          <w:rFonts w:ascii="Arial" w:cs="Arial" w:eastAsia="Arial" w:hAnsi="Arial"/>
          <w:b/>
          <w:bCs/>
          <w:color w:val="2D3748"/>
          <w:sz w:val="22"/>
          <w:szCs w:val="22"/>
        </w:rPr>
        <w:t xml:space="preserve">The Warehouse / Gen 215 </w:t>
      </w:r>
      <w:r>
        <w:rPr>
          <w:rFonts w:ascii="Arial" w:cs="Arial" w:eastAsia="Arial" w:hAnsi="Arial"/>
          <w:b w:val="false"/>
          <w:bCs w:val="false"/>
          <w:color w:val="2D3748"/>
          <w:sz w:val="22"/>
          <w:szCs w:val="22"/>
        </w:rPr>
        <w:t xml:space="preserve">provides safe community space, family services, and local food production in Flint. The facility operates year-round as a resource center for families in the project's immediate community.</w:t>
      </w:r>
    </w:p>
    <w:p>
      <w:pPr>
        <w:spacing w:after="120" w:before="0" w:line="276"/>
        <w:jc w:val="left"/>
      </w:pPr>
      <w:r>
        <w:rPr>
          <w:rFonts w:ascii="Arial" w:cs="Arial" w:eastAsia="Arial" w:hAnsi="Arial"/>
          <w:b/>
          <w:bCs/>
          <w:color w:val="2D3748"/>
          <w:sz w:val="22"/>
          <w:szCs w:val="22"/>
        </w:rPr>
        <w:t xml:space="preserve">ACS Cooperative </w:t>
      </w:r>
      <w:r>
        <w:rPr>
          <w:rFonts w:ascii="Arial" w:cs="Arial" w:eastAsia="Arial" w:hAnsi="Arial"/>
          <w:b w:val="false"/>
          <w:bCs w:val="false"/>
          <w:color w:val="2D3748"/>
          <w:sz w:val="22"/>
          <w:szCs w:val="22"/>
        </w:rPr>
        <w:t xml:space="preserve">(Frank Marco) operates hydroponic and aquaponic programs in partnership with the University of Arizona's Department of Biosystems Engineering (Dr. Joel Cuello). These programs deliver workforce training, food security, and economic participation directly to community residents. When the City of Flint asked how the project would "teach people to cook and prepare the food," the ACS Cooperative's commercial kitchen incubator was the answer.</w:t>
      </w:r>
    </w:p>
    <w:p>
      <w:pPr>
        <w:spacing w:after="120" w:before="0" w:line="276"/>
        <w:jc w:val="left"/>
      </w:pPr>
      <w:r>
        <w:rPr>
          <w:rFonts w:ascii="Arial" w:cs="Arial" w:eastAsia="Arial" w:hAnsi="Arial"/>
          <w:b/>
          <w:bCs/>
          <w:color w:val="1B3A5C"/>
          <w:sz w:val="22"/>
          <w:szCs w:val="22"/>
        </w:rPr>
        <w:t xml:space="preserve">The thesis: </w:t>
      </w:r>
      <w:r>
        <w:rPr>
          <w:rFonts w:ascii="Arial" w:cs="Arial" w:eastAsia="Arial" w:hAnsi="Arial"/>
          <w:b w:val="false"/>
          <w:bCs w:val="false"/>
          <w:color w:val="2D3748"/>
          <w:sz w:val="22"/>
          <w:szCs w:val="22"/>
        </w:rPr>
        <w:t xml:space="preserve">The Michigan LTC Network is an economic generator with a social conscience. The pyrolysis operation creates sustainable revenue; the community engagement creates sustainable impact. The 10% allocation is funded by the platform's economics, not by grants — making it self-sustaining across the project's 25-year lifecycle.</w:t>
      </w:r>
    </w:p>
    <w:p>
      <w:r>
        <w:br w:type="page"/>
      </w:r>
    </w:p>
    <w:p>
      <w:pPr>
        <w:pStyle w:val="Heading1"/>
        <w:spacing w:after="120" w:before="400"/>
      </w:pPr>
      <w:r>
        <w:rPr>
          <w:rFonts w:ascii="Arial" w:cs="Arial" w:eastAsia="Arial" w:hAnsi="Arial"/>
          <w:b/>
          <w:bCs/>
          <w:color w:val="1B3A5C"/>
          <w:sz w:val="28"/>
          <w:szCs w:val="28"/>
        </w:rPr>
        <w:t xml:space="preserve">What We Are Asking For</w:t>
      </w:r>
    </w:p>
    <w:p>
      <w:pPr>
        <w:spacing w:after="120" w:before="0" w:line="276"/>
        <w:jc w:val="left"/>
      </w:pPr>
      <w:r>
        <w:rPr>
          <w:rFonts w:ascii="Arial" w:cs="Arial" w:eastAsia="Arial" w:hAnsi="Arial"/>
          <w:b w:val="false"/>
          <w:bCs w:val="false"/>
          <w:color w:val="2D3748"/>
          <w:sz w:val="22"/>
          <w:szCs w:val="22"/>
        </w:rPr>
        <w:t xml:space="preserve">The Michigan LTC Network is seeking: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
        <w:gridCol w:w="9600"/>
      </w:tblGrid>
      <w:tr>
        <w:tc>
          <w:tcPr>
            <w:tcW w:type="dxa" w:w="120"/>
            <w:tcBorders>
              <w:top w:val="none" w:sz="0"/>
              <w:left w:val="single" w:color="C49A2A" w:sz="12"/>
              <w:bottom w:val="none" w:sz="0"/>
              <w:right w:val="none" w:sz="0"/>
            </w:tcBorders>
            <w:shd w:fill="E8F0FE" w:val="clear"/>
          </w:tcPr>
          <w:p/>
        </w:tc>
        <w:tc>
          <w:tcPr>
            <w:tcW w:type="dxa" w:w="9600"/>
            <w:tcBorders>
              <w:top w:val="none" w:sz="0"/>
              <w:left w:val="none" w:sz="0"/>
              <w:bottom w:val="none" w:sz="0"/>
              <w:right w:val="none" w:sz="0"/>
            </w:tcBorders>
            <w:shd w:fill="E8F0FE" w:val="clear"/>
            <w:tcMar>
              <w:top w:type="dxa" w:w="100"/>
              <w:left w:type="dxa" w:w="160"/>
              <w:bottom w:type="dxa" w:w="100"/>
              <w:right w:type="dxa" w:w="160"/>
            </w:tcMar>
          </w:tcPr>
          <w:p>
            <w:pPr>
              <w:spacing w:after="60" w:line="260"/>
            </w:pPr>
            <w:r>
              <w:rPr>
                <w:rFonts w:ascii="Arial" w:cs="Arial" w:eastAsia="Arial" w:hAnsi="Arial"/>
                <w:b w:val="false"/>
                <w:bCs w:val="false"/>
                <w:color w:val="2D3748"/>
                <w:sz w:val="20"/>
                <w:szCs w:val="20"/>
              </w:rPr>
              <w:t xml:space="preserve">$10,000,000 in capital investment per site, with a projected return of $3,500,000 annually for four years ($14,000,000 total return on a $10,000,000 investment). Thirty percent of equity is available to investors.</w:t>
            </w:r>
          </w:p>
          <w:p>
            <w:pPr>
              <w:spacing w:after="60" w:line="260"/>
            </w:pPr>
            <w:r>
              <w:rPr>
                <w:rFonts w:ascii="Arial" w:cs="Arial" w:eastAsia="Arial" w:hAnsi="Arial"/>
                <w:b w:val="false"/>
                <w:bCs w:val="false"/>
                <w:color w:val="2D3748"/>
                <w:sz w:val="20"/>
                <w:szCs w:val="20"/>
              </w:rPr>
              <w:t xml:space="preserve">The capital raise funds equipment procurement (WasteWerx), site development (construction, utilities, permitting), and operational commissioning. PublicLogic's governance buildout ($150K–$200K per site) is a capitalized development cost inside the project budget, not an additional line item.</w:t>
            </w:r>
          </w:p>
          <w:p>
            <w:pPr>
              <w:spacing w:after="60" w:line="260"/>
            </w:pPr>
            <w:r>
              <w:rPr>
                <w:rFonts w:ascii="Arial" w:cs="Arial" w:eastAsia="Arial" w:hAnsi="Arial"/>
                <w:b w:val="false"/>
                <w:bCs w:val="false"/>
                <w:color w:val="2D3748"/>
                <w:sz w:val="20"/>
                <w:szCs w:val="20"/>
              </w:rPr>
              <w:t xml:space="preserve">Revenue commencement: 18 months from closing. The platform model means each subsequent site deployment is faster and cheaper than the last, with shared governance infrastructure, reusable compliance templates, and proven technology.</w:t>
            </w:r>
          </w:p>
        </w:tc>
      </w:tr>
    </w:tbl>
    <w:p>
      <w:pPr>
        <w:spacing w:after="0" w:before="200"/>
      </w:pPr>
    </w:p>
    <w:p>
      <w:pPr>
        <w:pBdr>
          <w:bottom w:val="single" w:color="1B3A5C" w:sz="4" w:space="8"/>
        </w:pBdr>
        <w:spacing w:after="200"/>
        <w:jc w:val="center"/>
      </w:pPr>
    </w:p>
    <w:p>
      <w:pPr>
        <w:spacing w:after="0" w:before="60"/>
      </w:pPr>
    </w:p>
    <w:p>
      <w:pPr>
        <w:spacing w:after="20"/>
        <w:jc w:val="center"/>
      </w:pPr>
      <w:r>
        <w:rPr>
          <w:rFonts w:ascii="Arial" w:cs="Arial" w:eastAsia="Arial" w:hAnsi="Arial"/>
          <w:b/>
          <w:bCs/>
          <w:color w:val="1B3A5C"/>
          <w:sz w:val="24"/>
          <w:szCs w:val="24"/>
        </w:rPr>
        <w:t xml:space="preserve">Energy Mann &amp; Sunn, Inc.</w:t>
      </w:r>
    </w:p>
    <w:p>
      <w:pPr>
        <w:spacing w:after="10"/>
        <w:jc w:val="center"/>
      </w:pPr>
      <w:r>
        <w:rPr>
          <w:rFonts w:ascii="Arial" w:cs="Arial" w:eastAsia="Arial" w:hAnsi="Arial"/>
          <w:b w:val="false"/>
          <w:bCs w:val="false"/>
          <w:color w:val="2D3748"/>
          <w:sz w:val="20"/>
          <w:szCs w:val="20"/>
        </w:rPr>
        <w:t xml:space="preserve">Robert C. McCall Jr., Project Executive</w:t>
      </w:r>
    </w:p>
    <w:p>
      <w:pPr>
        <w:spacing w:after="10"/>
        <w:jc w:val="center"/>
      </w:pPr>
      <w:r>
        <w:rPr>
          <w:rFonts w:ascii="Arial" w:cs="Arial" w:eastAsia="Arial" w:hAnsi="Arial"/>
          <w:b w:val="false"/>
          <w:bCs w:val="false"/>
          <w:color w:val="4A5568"/>
          <w:sz w:val="20"/>
          <w:szCs w:val="20"/>
        </w:rPr>
        <w:t xml:space="preserve">216-906-2907 • mccall@acscoop.com</w:t>
      </w:r>
    </w:p>
    <w:p>
      <w:pPr>
        <w:spacing w:after="0" w:before="100"/>
      </w:pPr>
    </w:p>
    <w:p>
      <w:pPr>
        <w:spacing w:after="20"/>
        <w:jc w:val="center"/>
      </w:pPr>
      <w:r>
        <w:rPr>
          <w:rFonts w:ascii="Arial" w:cs="Arial" w:eastAsia="Arial" w:hAnsi="Arial"/>
          <w:b w:val="false"/>
          <w:bCs w:val="false"/>
          <w:color w:val="C49A2A"/>
          <w:sz w:val="20"/>
          <w:szCs w:val="20"/>
        </w:rPr>
        <w:t xml:space="preserve">Governance &amp; Compliance Infrastructure</w:t>
      </w:r>
    </w:p>
    <w:p>
      <w:pPr>
        <w:spacing w:after="10"/>
        <w:jc w:val="center"/>
      </w:pPr>
      <w:r>
        <w:rPr>
          <w:rFonts w:ascii="Arial" w:cs="Arial" w:eastAsia="Arial" w:hAnsi="Arial"/>
          <w:b/>
          <w:bCs/>
          <w:color w:val="1B3A5C"/>
          <w:sz w:val="22"/>
          <w:szCs w:val="22"/>
        </w:rPr>
        <w:t xml:space="preserve">PublicLogic LLC</w:t>
      </w:r>
    </w:p>
    <w:p>
      <w:pPr>
        <w:spacing w:after="10"/>
        <w:jc w:val="center"/>
      </w:pPr>
      <w:r>
        <w:rPr>
          <w:rFonts w:ascii="Arial" w:cs="Arial" w:eastAsia="Arial" w:hAnsi="Arial"/>
          <w:b w:val="false"/>
          <w:bCs w:val="false"/>
          <w:color w:val="4A5568"/>
          <w:sz w:val="20"/>
          <w:szCs w:val="20"/>
        </w:rPr>
        <w:t xml:space="preserve">Nathan Boudreau, MPA, MCPPO • 978-807-0829 • nate@publiclogic.org</w:t>
      </w:r>
    </w:p>
    <w:p>
      <w:pPr>
        <w:spacing w:after="10"/>
        <w:jc w:val="center"/>
      </w:pPr>
      <w:r>
        <w:rPr>
          <w:rFonts w:ascii="Arial" w:cs="Arial" w:eastAsia="Arial" w:hAnsi="Arial"/>
          <w:b w:val="false"/>
          <w:bCs w:val="false"/>
          <w:color w:val="4A5568"/>
          <w:sz w:val="20"/>
          <w:szCs w:val="20"/>
        </w:rPr>
        <w:t xml:space="preserve">Dr. Allison Weiss Rothschild • allie@publiclogic.org</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9A2A" w:sz="1" w:space="8"/>
      </w:pBdr>
      <w:spacing w:after="0" w:before="0"/>
      <w:jc w:val="center"/>
    </w:pPr>
    <w:r>
      <w:rPr>
        <w:rFonts w:ascii="Arial" w:cs="Arial" w:eastAsia="Arial" w:hAnsi="Arial"/>
        <w:b w:val="false"/>
        <w:bCs w:val="false"/>
        <w:color w:val="4A5568"/>
        <w:sz w:val="16"/>
        <w:szCs w:val="16"/>
      </w:rPr>
      <w:t xml:space="preserve">EM&amp;S Michigan LTC Network • Investor &amp; Stakeholder Brief • Confidential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B3A5C"/>
      <w:sz w:val="28"/>
      <w:szCs w:val="28"/>
    </w:rPr>
  </w:style>
  <w:style w:type="paragraph" w:styleId="Heading2">
    <w:name w:val="Heading 2"/>
    <w:basedOn w:val="Normal"/>
    <w:next w:val="Normal"/>
    <w:qFormat/>
    <w:pPr>
      <w:spacing w:after="100" w:before="260"/>
      <w:outlineLvl w:val="1"/>
    </w:pPr>
    <w:rPr>
      <w:rFonts w:ascii="Arial" w:cs="Arial" w:eastAsia="Arial" w:hAnsi="Arial"/>
      <w:b/>
      <w:bCs/>
      <w:color w:val="1B3A5C"/>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2026-05-15T21:51:25.029Z</dcterms:created>
  <dcterms:modified xsi:type="dcterms:W3CDTF">2026-05-15T21:51:25.030Z</dcterms:modified>
</cp:coreProperties>
</file>

<file path=docProps/custom.xml><?xml version="1.0" encoding="utf-8"?>
<Properties xmlns="http://schemas.openxmlformats.org/officeDocument/2006/custom-properties" xmlns:vt="http://schemas.openxmlformats.org/officeDocument/2006/docPropsVTypes"/>
</file>