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Recommendations</w:t>
      </w:r>
    </w:p>
    <w:p>
      <w:r>
        <w:rPr>
          <w:i/>
          <w:color w:val="5F5E5A"/>
          <w:sz w:val="19"/>
        </w:rPr>
        <w:t>Sequenced for impact. Each names the rationale, the first step, and the statutory hook. Provenance: [R-AR] real, from Town of Swanzey Annual Reports 2011–2025; [R-news] local news (2026); [D] derived; [M] modeled.</w:t>
      </w:r>
    </w:p>
    <w:p>
      <w:r>
        <w:rPr>
          <w:b/>
          <w:color w:val="1F3A5F"/>
          <w:sz w:val="26"/>
        </w:rPr>
        <w:t>R1 — Stabilize the Town Administrator (do this first)</w:t>
      </w:r>
    </w:p>
    <w:p>
      <w:r>
        <w:rPr>
          <w:b/>
        </w:rPr>
        <w:t xml:space="preserve">Why: </w:t>
      </w:r>
      <w:r>
        <w:t>Administrator churn (Finding 7) is the precondition pain: nothing else holds if the executive turns over annually.</w:t>
      </w:r>
    </w:p>
    <w:p>
      <w:r>
        <w:rPr>
          <w:b/>
        </w:rPr>
        <w:t xml:space="preserve">First step: </w:t>
      </w:r>
      <w:r>
        <w:t>Offer a multi-year employment agreement with clear severance and a written annual evaluation; adopt a board–administrator delegation policy that defines lanes (policy vs. administration).</w:t>
      </w:r>
    </w:p>
    <w:p>
      <w:r>
        <w:rPr>
          <w:b/>
        </w:rPr>
        <w:t xml:space="preserve">Statutory hook: </w:t>
      </w:r>
      <w:r>
        <w:rPr>
          <w:i/>
          <w:sz w:val="20"/>
        </w:rPr>
        <w:t>RSA 41 (select board authority to set the administrator's terms); ICMA model employment agreement.</w:t>
      </w:r>
    </w:p>
    <w:p>
      <w:r>
        <w:rPr>
          <w:b/>
          <w:color w:val="1F3A5F"/>
          <w:sz w:val="26"/>
        </w:rPr>
        <w:t>R2 — Abandon bond-first capital; adopt reserve + state-aid + SRF financing</w:t>
      </w:r>
    </w:p>
    <w:p>
      <w:r>
        <w:rPr>
          <w:b/>
        </w:rPr>
        <w:t xml:space="preserve">Why: </w:t>
      </w:r>
      <w:r>
        <w:t>Bonds die at the 3/5 wall (Finding 4); reserves and aid-leveraged projects pass. The town has already started this (water SRF, principal forgiveness).</w:t>
      </w:r>
    </w:p>
    <w:p>
      <w:r>
        <w:rPr>
          <w:b/>
        </w:rPr>
        <w:t xml:space="preserve">First step: </w:t>
      </w:r>
      <w:r>
        <w:t>Stand up capital reserve funds (majority vote) for the public works facility, bridges, roads, equipment, and facilities; pursue 80% state bridge aid (RSA 234) and DWSRF for water. See the companion Capital Forecast Book.</w:t>
      </w:r>
    </w:p>
    <w:p>
      <w:r>
        <w:rPr>
          <w:b/>
        </w:rPr>
        <w:t xml:space="preserve">Statutory hook: </w:t>
      </w:r>
      <w:r>
        <w:rPr>
          <w:i/>
          <w:sz w:val="20"/>
        </w:rPr>
        <w:t>RSA 35 (capital reserves, majority vote); RSA 234 (bridge aid); NHDES DWSRF; RSA 33 only as last resort.</w:t>
      </w:r>
    </w:p>
    <w:p>
      <w:r>
        <w:rPr>
          <w:b/>
          <w:color w:val="1F3A5F"/>
          <w:sz w:val="26"/>
        </w:rPr>
        <w:t>R3 — Tell voters the truth about revaluation and the budget</w:t>
      </w:r>
    </w:p>
    <w:p>
      <w:r>
        <w:rPr>
          <w:b/>
        </w:rPr>
        <w:t xml:space="preserve">Why: </w:t>
      </w:r>
      <w:r>
        <w:t>The 2024 rate 'drop' was a revaluation (Finding 5) and budget support is eroding (Finding 3); trust is the real currency.</w:t>
      </w:r>
    </w:p>
    <w:p>
      <w:r>
        <w:rPr>
          <w:b/>
        </w:rPr>
        <w:t xml:space="preserve">First step: </w:t>
      </w:r>
      <w:r>
        <w:t>Publish a plain-language tax-bill explainer (rate vs. value vs. bill) and a multi-year budget-driver brief showing the wage/health/EMS escalators and the education share.</w:t>
      </w:r>
    </w:p>
    <w:p>
      <w:r>
        <w:rPr>
          <w:b/>
        </w:rPr>
        <w:t xml:space="preserve">Statutory hook: </w:t>
      </w:r>
      <w:r>
        <w:rPr>
          <w:i/>
          <w:sz w:val="20"/>
        </w:rPr>
        <w:t>RSA 21-J (DRA rate setting); RSA 76 (assessment/abatement).</w:t>
      </w:r>
    </w:p>
    <w:p>
      <w:r>
        <w:rPr>
          <w:b/>
          <w:color w:val="1F3A5F"/>
          <w:sz w:val="26"/>
        </w:rPr>
        <w:t>R4 — Publish a six-year Capital Improvement Program every year</w:t>
      </w:r>
    </w:p>
    <w:p>
      <w:r>
        <w:rPr>
          <w:b/>
        </w:rPr>
        <w:t xml:space="preserve">Why: </w:t>
      </w:r>
      <w:r>
        <w:t>A published CIP converts surprise capital into expected line items and underpins R2.</w:t>
      </w:r>
    </w:p>
    <w:p>
      <w:r>
        <w:rPr>
          <w:b/>
        </w:rPr>
        <w:t xml:space="preserve">First step: </w:t>
      </w:r>
      <w:r>
        <w:t>Task the existing CIP Committee to produce and annually update the plan, tied to the reserve schedule, in advance of each budget.</w:t>
      </w:r>
    </w:p>
    <w:p>
      <w:r>
        <w:rPr>
          <w:b/>
        </w:rPr>
        <w:t xml:space="preserve">Statutory hook: </w:t>
      </w:r>
      <w:r>
        <w:rPr>
          <w:i/>
          <w:sz w:val="20"/>
        </w:rPr>
        <w:t>RSA 674:5–8.</w:t>
      </w:r>
    </w:p>
    <w:p>
      <w:r>
        <w:rPr>
          <w:b/>
          <w:color w:val="1F3A5F"/>
          <w:sz w:val="26"/>
        </w:rPr>
        <w:t>R5 — Govern the new five-member board deliberately</w:t>
      </w:r>
    </w:p>
    <w:p>
      <w:r>
        <w:rPr>
          <w:b/>
        </w:rPr>
        <w:t xml:space="preserve">Why: </w:t>
      </w:r>
      <w:r>
        <w:t>The 3→5 expansion (Finding 6) will slow decisions until norms form.</w:t>
      </w:r>
    </w:p>
    <w:p>
      <w:r>
        <w:rPr>
          <w:b/>
        </w:rPr>
        <w:t xml:space="preserve">First step: </w:t>
      </w:r>
      <w:r>
        <w:t>Adopt operating norms (agenda discipline, one-voice-to-staff, conflict recusal) and an onboarding packet for the new seats.</w:t>
      </w:r>
    </w:p>
    <w:p>
      <w:r>
        <w:rPr>
          <w:b/>
        </w:rPr>
        <w:t xml:space="preserve">Statutory hook: </w:t>
      </w:r>
      <w:r>
        <w:rPr>
          <w:i/>
          <w:sz w:val="20"/>
        </w:rPr>
        <w:t>RSA 41:8; RSA 91-A (meetings); RSA 31:39-a (ethics).</w:t>
      </w:r>
    </w:p>
    <w:p>
      <w:r>
        <w:rPr>
          <w:b/>
          <w:color w:val="1F3A5F"/>
          <w:sz w:val="26"/>
        </w:rPr>
        <w:t>R6 — Manage the water-utility transition as an enterprise</w:t>
      </w:r>
    </w:p>
    <w:p>
      <w:r>
        <w:rPr>
          <w:b/>
        </w:rPr>
        <w:t xml:space="preserve">Why: </w:t>
      </w:r>
      <w:r>
        <w:t>The West Swanzey acquisition (Finding 9) is a large new obligation that should not land on the property tax.</w:t>
      </w:r>
    </w:p>
    <w:p>
      <w:r>
        <w:rPr>
          <w:b/>
        </w:rPr>
        <w:t xml:space="preserve">First step: </w:t>
      </w:r>
      <w:r>
        <w:t>Commission a water-rate study and an asset-management plan; structure DWSRF repayment through user rates; pursue principal forgiveness.</w:t>
      </w:r>
    </w:p>
    <w:p>
      <w:r>
        <w:rPr>
          <w:b/>
        </w:rPr>
        <w:t xml:space="preserve">Statutory hook: </w:t>
      </w:r>
      <w:r>
        <w:rPr>
          <w:i/>
          <w:sz w:val="20"/>
        </w:rPr>
        <w:t>RSA 38 (municipal utilities); NHDES DWSRF (AMRP required).</w:t>
      </w:r>
    </w:p>
    <w:p>
      <w:r>
        <w:rPr>
          <w:b/>
          <w:color w:val="1F3A5F"/>
          <w:sz w:val="26"/>
        </w:rPr>
        <w:t>R7 — De-risk the development/litigation posture</w:t>
      </w:r>
    </w:p>
    <w:p>
      <w:r>
        <w:rPr>
          <w:b/>
        </w:rPr>
        <w:t xml:space="preserve">Why: </w:t>
      </w:r>
      <w:r>
        <w:t>The Avanru suit (Finding 8) signals process risk in land-use decisions.</w:t>
      </w:r>
    </w:p>
    <w:p>
      <w:r>
        <w:rPr>
          <w:b/>
        </w:rPr>
        <w:t xml:space="preserve">First step: </w:t>
      </w:r>
      <w:r>
        <w:t>Have land-use boards decide strictly on written criteria with counsel present; document findings; review the zoning ordinance for clarity.</w:t>
      </w:r>
    </w:p>
    <w:p>
      <w:r>
        <w:rPr>
          <w:b/>
        </w:rPr>
        <w:t xml:space="preserve">Statutory hook: </w:t>
      </w:r>
      <w:r>
        <w:rPr>
          <w:i/>
          <w:sz w:val="20"/>
        </w:rPr>
        <w:t>RSA 672–677 (planning/zoning); RSA 673 (boards).</w:t>
      </w:r>
    </w:p>
    <w:p>
      <w:r>
        <w:rPr>
          <w:b/>
          <w:color w:val="1F3A5F"/>
          <w:sz w:val="26"/>
        </w:rPr>
        <w:t>Sequencing</w:t>
      </w:r>
    </w:p>
    <w:p>
      <w:r>
        <w:t>R1 is the keystone — fund it with continuity. R2 and R4 unlock the capital backlog the electorate keeps blocking. R3 rebuilds the trust that R2's votes require. R5–R7 protect the institution while the rest takes hold.</w:t>
      </w:r>
    </w:p>
    <w:p>
      <w:r>
        <w:rPr>
          <w:i/>
          <w:color w:val="5F5E5A"/>
          <w:sz w:val="16"/>
        </w:rPr>
        <w:t>Provenance: [R-AR] real, from Town of Swanzey Annual Reports 2011–2025; [R-news] local news (2026); [D] derived; [M] modeled.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