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Sources &amp; Provenance</w:t>
      </w:r>
    </w:p>
    <w:p>
      <w:r>
        <w:rPr>
          <w:i/>
          <w:color w:val="5F5E5A"/>
          <w:sz w:val="19"/>
        </w:rPr>
        <w:t>Every figure in this review is traceable to a primary source below.</w:t>
      </w:r>
    </w:p>
    <w:p>
      <w:r>
        <w:rPr>
          <w:b/>
          <w:color w:val="1F3A5F"/>
          <w:sz w:val="26"/>
        </w:rPr>
        <w:t>Provenance legend</w:t>
      </w:r>
    </w:p>
    <w:p>
      <w:pPr>
        <w:pStyle w:val="ListBullet"/>
      </w:pPr>
      <w:r>
        <w:rPr>
          <w:b/>
        </w:rPr>
        <w:t xml:space="preserve">[R-AR] </w:t>
      </w:r>
      <w:r>
        <w:t>real, extracted from the Town's official Annual Reports (2011–2025).</w:t>
      </w:r>
    </w:p>
    <w:p>
      <w:pPr>
        <w:pStyle w:val="ListBullet"/>
      </w:pPr>
      <w:r>
        <w:rPr>
          <w:b/>
        </w:rPr>
        <w:t xml:space="preserve">[R-news] </w:t>
      </w:r>
      <w:r>
        <w:t>real, from local news (used for 2026, before that year's report is published).</w:t>
      </w:r>
    </w:p>
    <w:p>
      <w:pPr>
        <w:pStyle w:val="ListBullet"/>
      </w:pPr>
      <w:r>
        <w:rPr>
          <w:b/>
        </w:rPr>
        <w:t xml:space="preserve">[D] </w:t>
      </w:r>
      <w:r>
        <w:t>derived/calculated from real figures.</w:t>
      </w:r>
    </w:p>
    <w:p>
      <w:pPr>
        <w:pStyle w:val="ListBullet"/>
      </w:pPr>
      <w:r>
        <w:rPr>
          <w:b/>
        </w:rPr>
        <w:t xml:space="preserve">[M] </w:t>
      </w:r>
      <w:r>
        <w:t>modeled (forecast scenarios).</w:t>
      </w:r>
    </w:p>
    <w:p>
      <w:r>
        <w:rPr>
          <w:b/>
          <w:color w:val="1F3A5F"/>
          <w:sz w:val="26"/>
        </w:rPr>
        <w:t>Primary — Town of Swanzey Annual Reports</w:t>
      </w:r>
    </w:p>
    <w:p>
      <w:r>
        <w:t>Official-ballot results, deliberative-session minutes, and budget figures, 2011–2025. Hosted at the Town document center (swanzeynh.gov) and the UNH Scholars Repository (scholars.unh.edu/swanzey_nh_reports).</w:t>
      </w:r>
    </w:p>
    <w:p>
      <w:r>
        <w:rPr>
          <w:b/>
          <w:color w:val="1F3A5F"/>
          <w:sz w:val="26"/>
        </w:rPr>
        <w:t>Tax rates</w:t>
      </w:r>
    </w:p>
    <w:p>
      <w:r>
        <w:t>NH Department of Revenue Administration municipal tax-rate filings and the Town of Swanzey Tax Collector (2021–2025, with components).</w:t>
      </w:r>
    </w:p>
    <w:p>
      <w:r>
        <w:rPr>
          <w:b/>
          <w:color w:val="1F3A5F"/>
          <w:sz w:val="26"/>
        </w:rPr>
        <w:t>2026 results &amp; administrative events</w:t>
      </w:r>
    </w:p>
    <w:p>
      <w:pPr>
        <w:pStyle w:val="ListBullet"/>
      </w:pPr>
      <w:r>
        <w:t>Keene Sentinel (keenesentinel.com) — public works recount, SB2 repeal, administrator transitions, Avanru/Christian Hill Road bridge coverage.</w:t>
      </w:r>
    </w:p>
    <w:p>
      <w:pPr>
        <w:pStyle w:val="ListBullet"/>
      </w:pPr>
      <w:r>
        <w:t>My Keene Now (mykeenenow.com) — 2026 town-meeting results, administrator departures.</w:t>
      </w:r>
    </w:p>
    <w:p>
      <w:r>
        <w:rPr>
          <w:b/>
          <w:color w:val="1F3A5F"/>
          <w:sz w:val="26"/>
        </w:rPr>
        <w:t>Statutory framework</w:t>
      </w:r>
    </w:p>
    <w:p>
      <w:r>
        <w:t>NH RSA 32 (budget), 33 (bonding), 35 (capital reserves), 38 (municipal utilities), 40:13 (SB2), 91-A (right-to-know), 162-K (TIF), 234 (bridge aid), 674 (CIP); NHDES Drinking Water State Revolving Fund.</w:t>
      </w:r>
    </w:p>
    <w:p>
      <w:r>
        <w:rPr>
          <w:b/>
          <w:color w:val="1F3A5F"/>
          <w:sz w:val="26"/>
        </w:rPr>
        <w:t>Caveats</w:t>
      </w:r>
    </w:p>
    <w:p>
      <w:pPr>
        <w:pStyle w:val="ListBullet"/>
      </w:pPr>
      <w:r>
        <w:t>A few single-year budget-vote tallies were not machine-readable in the source PDFs and are omitted rather than estimated.</w:t>
      </w:r>
    </w:p>
    <w:p>
      <w:pPr>
        <w:pStyle w:val="ListBullet"/>
      </w:pPr>
      <w:r>
        <w:t>2016–2017 operating figure repeats in the source ($6,210,799); flagged as possibly level-funded.</w:t>
      </w:r>
    </w:p>
    <w:p>
      <w:pPr>
        <w:pStyle w:val="ListBullet"/>
      </w:pPr>
      <w:r>
        <w:t>Tax-rate series shown for 2021–2025; earlier-year rates not retrieved for this draft.</w:t>
      </w:r>
    </w:p>
    <w:p>
      <w:pPr>
        <w:pStyle w:val="ListBullet"/>
      </w:pPr>
      <w:r>
        <w:t>Forecasts are scenarios, not predictions. Verify any figure against the source report before relying on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