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3A5F"/>
          <w:sz w:val="52"/>
        </w:rPr>
        <w:t>Swanzey Financial &amp; Governance Review</w:t>
      </w:r>
    </w:p>
    <w:p>
      <w:pPr>
        <w:jc w:val="center"/>
      </w:pPr>
      <w:r>
        <w:rPr>
          <w:color w:val="5F5E5A"/>
          <w:sz w:val="30"/>
        </w:rPr>
        <w:t>15 years of budgets, votes, and patterns — and where it's heading</w:t>
      </w:r>
    </w:p>
    <w:p>
      <w:r>
        <w:br/>
        <w:br/>
        <w:br/>
      </w:r>
    </w:p>
    <w:p>
      <w:pPr>
        <w:jc w:val="center"/>
      </w:pPr>
      <w:r>
        <w:rPr>
          <w:sz w:val="26"/>
        </w:rPr>
        <w:t>Town of Swanzey, Cheshire County, New Hampshire</w:t>
      </w:r>
    </w:p>
    <w:p>
      <w:pPr>
        <w:jc w:val="center"/>
      </w:pPr>
      <w:r>
        <w:rPr>
          <w:color w:val="5F5E5A"/>
          <w:sz w:val="22"/>
        </w:rPr>
        <w:t>PublicLogic VAULT  ·  Final Report  ·  June 2026</w:t>
      </w:r>
    </w:p>
    <w:p>
      <w:r>
        <w:br w:type="page"/>
      </w:r>
    </w:p>
    <w:p>
      <w:r>
        <w:rPr>
          <w:b/>
          <w:color w:val="1F3A5F"/>
          <w:sz w:val="32"/>
        </w:rPr>
        <w:t>1.  Executive Summary</w:t>
      </w:r>
    </w:p>
    <w:p>
      <w:r>
        <w:t>Across 15 years of official-ballot town meetings, Swanzey's electorate is consistent, legible, and increasingly stressed. Voters will fund operations but will not borrow; they reward saving and tax credits and punish bonds; their support for the operating budget is eroding; and they are actively restructuring how the town governs itself — all while the Town Administrator's office keeps turning over. The town is simultaneously taking on more (a water utility) and losing the executive continuity needed to deliver it.</w:t>
      </w:r>
    </w:p>
    <w:p>
      <w:r>
        <w:rPr>
          <w:b/>
          <w:color w:val="1F3A5F"/>
          <w:sz w:val="26"/>
        </w:rPr>
        <w:t>Headline figures</w:t>
      </w:r>
    </w:p>
    <w:p>
      <w:pPr>
        <w:pStyle w:val="ListBullet"/>
      </w:pPr>
      <w:r>
        <w:rPr>
          <w:b/>
        </w:rPr>
        <w:t xml:space="preserve">$5.75M → $8.94M  </w:t>
      </w:r>
      <w:r>
        <w:t>operating budget, 2011 → 2025 (+55%)</w:t>
      </w:r>
    </w:p>
    <w:p>
      <w:pPr>
        <w:pStyle w:val="ListBullet"/>
      </w:pPr>
      <w:r>
        <w:rPr>
          <w:b/>
        </w:rPr>
        <w:t xml:space="preserve">≈ 6.7%/yr  </w:t>
      </w:r>
      <w:r>
        <w:t>recent growth (2021–2025)</w:t>
      </w:r>
    </w:p>
    <w:p>
      <w:pPr>
        <w:pStyle w:val="ListBullet"/>
      </w:pPr>
      <w:r>
        <w:rPr>
          <w:b/>
        </w:rPr>
        <w:t xml:space="preserve">81% → 57%  </w:t>
      </w:r>
      <w:r>
        <w:t>operating-budget voter support, 2011 → 2025</w:t>
      </w:r>
    </w:p>
    <w:p>
      <w:pPr>
        <w:pStyle w:val="ListBullet"/>
      </w:pPr>
      <w:r>
        <w:rPr>
          <w:b/>
        </w:rPr>
        <w:t xml:space="preserve">$47K (0.5%)  </w:t>
      </w:r>
      <w:r>
        <w:t>2025 default-vs-proposed gap — the lever is gone</w:t>
      </w:r>
    </w:p>
    <w:p>
      <w:pPr>
        <w:pStyle w:val="ListBullet"/>
      </w:pPr>
      <w:r>
        <w:rPr>
          <w:b/>
        </w:rPr>
        <w:t xml:space="preserve">2024 &amp; 2026  </w:t>
      </w:r>
      <w:r>
        <w:t>public works facility 3/5 votes — both failed</w:t>
      </w:r>
    </w:p>
    <w:p>
      <w:pPr>
        <w:pStyle w:val="ListBullet"/>
      </w:pPr>
      <w:r>
        <w:rPr>
          <w:b/>
        </w:rPr>
        <w:t xml:space="preserve">3  </w:t>
      </w:r>
      <w:r>
        <w:t>town administrators in ~2 years</w:t>
      </w:r>
    </w:p>
    <w:p>
      <w:r>
        <w:rPr>
          <w:b/>
          <w:color w:val="1F3A5F"/>
          <w:sz w:val="26"/>
        </w:rPr>
        <w:t>The recommendation in one line</w:t>
      </w:r>
    </w:p>
    <w:p>
      <w:r>
        <w:rPr>
          <w:b/>
        </w:rPr>
        <w:t>Stabilize the administrator, abandon bond-first capital for the reserve/state-aid/SRF strategy the electorate already rewards, and tell voters the truth about revaluation and the budget — in that order.</w:t>
      </w:r>
    </w:p>
    <w:p>
      <w:r>
        <w:br w:type="page"/>
      </w:r>
    </w:p>
    <w:p>
      <w:r>
        <w:rPr>
          <w:b/>
          <w:color w:val="1F3A5F"/>
          <w:sz w:val="32"/>
        </w:rPr>
        <w:t>2.  Findings</w:t>
      </w:r>
    </w:p>
    <w:p>
      <w:r>
        <w:rPr>
          <w:i/>
          <w:color w:val="5F5E5A"/>
          <w:sz w:val="19"/>
        </w:rPr>
        <w:t>Provenance: [R-AR] Town of Swanzey Annual Reports 2011–2025; [R-news] local news (2026); [D] derived; [M] modeled.</w:t>
      </w:r>
    </w:p>
    <w:p>
      <w:r>
        <w:rPr>
          <w:b/>
          <w:color w:val="1F3A5F"/>
          <w:sz w:val="26"/>
        </w:rPr>
        <w:t>Finding 1 — Operating budget has entered a high-growth regime</w:t>
      </w:r>
    </w:p>
    <w:p>
      <w:r>
        <w:t>After a flat early-2010s (~+1%/yr), the budget shifted to +6–7%/yr (2020–2025), rising 55% to $8.94M, driven by wages, health insurance, and the ambulance contract.</w:t>
      </w:r>
    </w:p>
    <w:p>
      <w:r>
        <w:drawing>
          <wp:inline xmlns:a="http://schemas.openxmlformats.org/drawingml/2006/main" xmlns:pic="http://schemas.openxmlformats.org/drawingml/2006/picture">
            <wp:extent cx="5669280" cy="3123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dget-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3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2 — The default-budget lever has effectively disappeared</w:t>
      </w:r>
    </w:p>
    <w:p>
      <w:r>
        <w:t>The proposed-vs-default gap collapsed from $560K (2022) to $47K (2025); in 2016–2017 the default exceeded the proposal. 'Vote no to save money' no longer works.</w:t>
      </w:r>
    </w:p>
    <w:p>
      <w:r>
        <w:drawing>
          <wp:inline xmlns:a="http://schemas.openxmlformats.org/drawingml/2006/main" xmlns:pic="http://schemas.openxmlformats.org/drawingml/2006/picture">
            <wp:extent cx="5669280" cy="30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fault-gap-collap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3 — Operating-budget support is eroding toward the 50% cliff</w:t>
      </w:r>
    </w:p>
    <w:p>
      <w:r>
        <w:t>Approval fell from ~80% (2011–2015) to 57% (2025). A budget failure becomes plausible within a few cycles, though its fiscal impact would now be muted (Finding 2).</w:t>
      </w:r>
    </w:p>
    <w:p>
      <w:r>
        <w:drawing>
          <wp:inline xmlns:a="http://schemas.openxmlformats.org/drawingml/2006/main" xmlns:pic="http://schemas.openxmlformats.org/drawingml/2006/picture">
            <wp:extent cx="5669280" cy="3167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dget-support-ero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4 — Capital paralysis at the 3/5 wall</w:t>
      </w:r>
    </w:p>
    <w:p>
      <w:r>
        <w:t>Tax credits pass ~90% and reserves ~78%, but facility bonds get only 55–58% — never the 3/5 a bond needs. The public works facility failed at 3/5 in 2024 and 2026. A threshold problem, not an opposition problem.</w:t>
      </w:r>
    </w:p>
    <w:p>
      <w:r>
        <w:drawing>
          <wp:inline xmlns:a="http://schemas.openxmlformats.org/drawingml/2006/main" xmlns:pic="http://schemas.openxmlformats.org/drawingml/2006/picture">
            <wp:extent cx="5669280" cy="332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erves-vs-bo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5 — The 2024 rate decline was a revaluation, not a tax cut</w:t>
      </w:r>
    </w:p>
    <w:p>
      <w:r>
        <w:t>Total rate moved $26.87 (2023) → $19.06 (2024) → $20.18 (2025); the 2024 drop reflects higher assessed values, not lower bills. Education is ~60% of the bill.</w:t>
      </w:r>
    </w:p>
    <w:p>
      <w:r>
        <w:drawing>
          <wp:inline xmlns:a="http://schemas.openxmlformats.org/drawingml/2006/main" xmlns:pic="http://schemas.openxmlformats.org/drawingml/2006/picture">
            <wp:extent cx="5669280" cy="32992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x-rate-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6"/>
        </w:rPr>
        <w:t>Finding 6 — Governance is being actively restructured</w:t>
      </w:r>
    </w:p>
    <w:p>
      <w:r>
        <w:t>Voters expanded the Select Board 3→5 (2025, 740–653), rejected a second polling location (673–727), and kept SB2 (rejected repeal 345–809 in 2026) — overruling a board that had recommended repeal.</w:t>
      </w:r>
    </w:p>
    <w:p>
      <w:r>
        <w:rPr>
          <w:b/>
          <w:color w:val="1F3A5F"/>
          <w:sz w:val="26"/>
        </w:rPr>
        <w:t>Finding 7 — Administrative instability is the master pain</w:t>
      </w:r>
    </w:p>
    <w:p>
      <w:r>
        <w:t>Three administrators in ~2 years (Branley → Torpey interim → Rautiola → open). Every other initiative restarts with each turnover.</w:t>
      </w:r>
    </w:p>
    <w:p>
      <w:r>
        <w:rPr>
          <w:b/>
          <w:color w:val="1F3A5F"/>
          <w:sz w:val="26"/>
        </w:rPr>
        <w:t>Finding 8 — Development and land use are a live legal exposure</w:t>
      </w:r>
    </w:p>
    <w:p>
      <w:r>
        <w:t>The Avanru 74-unit senior-housing project drew a federal lawsuit alleging boards relied on opposition rather than zoning criteria; the Base Hill Road storage facility has been a multi-year dispute.</w:t>
      </w:r>
    </w:p>
    <w:p>
      <w:r>
        <w:rPr>
          <w:b/>
          <w:color w:val="1F3A5F"/>
          <w:sz w:val="26"/>
        </w:rPr>
        <w:t>Finding 9 — The town is absorbing a water utility</w:t>
      </w:r>
    </w:p>
    <w:p>
      <w:r>
        <w:t>In 2025 voters authorized acquiring the West Swanzey water system (RSA 38:4), created a TIF district, appropriated $3.5M and $6.4M, and funded a study expecting '100% principal forgiveness' (NHDES DWSRF).</w:t>
      </w:r>
    </w:p>
    <w:p>
      <w:r>
        <w:rPr>
          <w:b/>
          <w:color w:val="1F3A5F"/>
          <w:sz w:val="26"/>
        </w:rPr>
        <w:t>Finding 10 — Electoral volatility is rising</w:t>
      </w:r>
    </w:p>
    <w:p>
      <w:r>
        <w:t>Crowded fields, sub-30-vote margins, ousted incumbents, and recounts. Continuity is the scarcest resource.</w:t>
      </w:r>
    </w:p>
    <w:p>
      <w:r>
        <w:br w:type="page"/>
      </w:r>
    </w:p>
    <w:p>
      <w:r>
        <w:rPr>
          <w:b/>
          <w:color w:val="1F3A5F"/>
          <w:sz w:val="32"/>
        </w:rPr>
        <w:t>3.  Recommendations</w:t>
      </w:r>
    </w:p>
    <w:p>
      <w:r>
        <w:rPr>
          <w:i/>
          <w:color w:val="5F5E5A"/>
          <w:sz w:val="19"/>
        </w:rPr>
        <w:t>Sequenced for impact.</w:t>
      </w:r>
    </w:p>
    <w:p>
      <w:r>
        <w:rPr>
          <w:b/>
          <w:color w:val="1F3A5F"/>
          <w:sz w:val="26"/>
        </w:rPr>
        <w:t>R1 — Stabilize the Town Administrator (first)</w:t>
      </w:r>
    </w:p>
    <w:p>
      <w:r>
        <w:t>Churn is the precondition pain. Offer a multi-year agreement with a written evaluation and a board–administrator delegation policy. (RSA 41)</w:t>
      </w:r>
    </w:p>
    <w:p>
      <w:r>
        <w:rPr>
          <w:b/>
          <w:color w:val="1F3A5F"/>
          <w:sz w:val="26"/>
        </w:rPr>
        <w:t>R2 — Reserve + state-aid + SRF capital</w:t>
      </w:r>
    </w:p>
    <w:p>
      <w:r>
        <w:t>Bonds die at 3/5; reserves and aid pass. Stand up capital reserve funds (majority vote), pursue 80% bridge aid (RSA 234) and DWSRF water financing. (RSA 35)</w:t>
      </w:r>
    </w:p>
    <w:p>
      <w:r>
        <w:rPr>
          <w:b/>
          <w:color w:val="1F3A5F"/>
          <w:sz w:val="26"/>
        </w:rPr>
        <w:t>R3 — Tell the truth on revaluation &amp; the budget</w:t>
      </w:r>
    </w:p>
    <w:p>
      <w:r>
        <w:t>Publish a plain-language tax-bill explainer and a budget-driver brief. (RSA 21-J, 76)</w:t>
      </w:r>
    </w:p>
    <w:p>
      <w:r>
        <w:rPr>
          <w:b/>
          <w:color w:val="1F3A5F"/>
          <w:sz w:val="26"/>
        </w:rPr>
        <w:t>R4 — Publish a six-year CIP annually</w:t>
      </w:r>
    </w:p>
    <w:p>
      <w:r>
        <w:t>Convert surprise capital into expected line items. (RSA 674:5–8)</w:t>
      </w:r>
    </w:p>
    <w:p>
      <w:r>
        <w:rPr>
          <w:b/>
          <w:color w:val="1F3A5F"/>
          <w:sz w:val="26"/>
        </w:rPr>
        <w:t>R5 — Govern the new five-member board</w:t>
      </w:r>
    </w:p>
    <w:p>
      <w:r>
        <w:t>Adopt operating norms and onboarding. (RSA 41:8, 91-A, 31:39-a)</w:t>
      </w:r>
    </w:p>
    <w:p>
      <w:r>
        <w:rPr>
          <w:b/>
          <w:color w:val="1F3A5F"/>
          <w:sz w:val="26"/>
        </w:rPr>
        <w:t>R6 — Run water as an enterprise</w:t>
      </w:r>
    </w:p>
    <w:p>
      <w:r>
        <w:t>Rate study + asset-management plan; DWSRF repaid by rates. (RSA 38)</w:t>
      </w:r>
    </w:p>
    <w:p>
      <w:r>
        <w:rPr>
          <w:b/>
          <w:color w:val="1F3A5F"/>
          <w:sz w:val="26"/>
        </w:rPr>
        <w:t>R7 — De-risk land-use decisions</w:t>
      </w:r>
    </w:p>
    <w:p>
      <w:r>
        <w:t>Decide strictly on written criteria, with counsel. (RSA 672–677)</w:t>
      </w:r>
    </w:p>
    <w:p>
      <w:r>
        <w:rPr>
          <w:b/>
          <w:color w:val="1F3A5F"/>
          <w:sz w:val="26"/>
        </w:rPr>
        <w:t>Sequencing</w:t>
      </w:r>
    </w:p>
    <w:p>
      <w:r>
        <w:t>R1 is the keystone. R2 and R4 unlock the capital backlog the electorate keeps blocking. R3 rebuilds the trust R2's votes require. R5–R7 protect the institution while the rest takes hold.</w:t>
      </w:r>
    </w:p>
    <w:p>
      <w:r>
        <w:rPr>
          <w:i/>
          <w:color w:val="5F5E5A"/>
          <w:sz w:val="19"/>
        </w:rPr>
        <w:t>Provenance: [R-AR] Town of Swanzey Annual Reports 2011–2025; [R-news] local news (2026); [D] derived; [M] modeled.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