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Field-Scale Well Construction Timeline Reconstruction from WITSML Daily Drilling Reports: A Complete Operational History of the Equinor Volve Dataset</w:t>
      </w:r>
    </w:p>
    <w:p>
      <w:pPr>
        <w:spacing w:after="40"/>
        <w:jc w:val="center"/>
      </w:pPr>
      <w:r>
        <w:rPr>
          <w:rFonts w:ascii="Times New Roman" w:cs="Times New Roman" w:eastAsia="Times New Roman" w:hAnsi="Times New Roman"/>
          <w:sz w:val="22"/>
          <w:szCs w:val="22"/>
        </w:rPr>
        <w:t xml:space="preserve">T. Appalla, Independent Researcher</w:t>
      </w:r>
    </w:p>
    <w:p>
      <w:pPr>
        <w:spacing w:after="40"/>
        <w:jc w:val="center"/>
      </w:pPr>
      <w:r>
        <w:rPr>
          <w:rFonts w:ascii="Times New Roman" w:cs="Times New Roman" w:eastAsia="Times New Roman" w:hAnsi="Times New Roman"/>
          <w:sz w:val="20"/>
          <w:szCs w:val="20"/>
        </w:rPr>
        <w:t xml:space="preserve">IPTC-25544-MS (Control 27IPTC-P-1392-SPE)</w:t>
      </w:r>
    </w:p>
    <w:p>
      <w:pPr>
        <w:spacing w:after="240"/>
        <w:jc w:val="center"/>
      </w:pPr>
      <w:r>
        <w:rPr>
          <w:rFonts w:ascii="Times New Roman" w:cs="Times New Roman" w:eastAsia="Times New Roman" w:hAnsi="Times New Roman"/>
          <w:b/>
          <w:bCs/>
          <w:sz w:val="20"/>
          <w:szCs w:val="20"/>
          <w:highlight w:val="yellow"/>
        </w:rPr>
        <w:t xml:space="preserve">[TJ: the proposal author block reads "Department of Mining and Energy". Change the affiliation to Independent Researcher in the IPTC author portal before uploading; the portal, not this file, sets the published front matter.]</w:t>
      </w:r>
    </w:p>
    <w:p>
      <w:pPr>
        <w:pStyle w:val="Heading1"/>
        <w:keepNext/>
        <w:spacing w:after="120" w:before="240"/>
      </w:pPr>
      <w:r>
        <w:rPr>
          <w:rFonts w:ascii="Times New Roman" w:cs="Times New Roman" w:eastAsia="Times New Roman" w:hAnsi="Times New Roman"/>
          <w:b/>
          <w:bCs/>
          <w:sz w:val="22"/>
          <w:szCs w:val="22"/>
        </w:rPr>
        <w:t xml:space="preserve">Abstract</w:t>
      </w:r>
    </w:p>
    <w:p>
      <w:pPr>
        <w:spacing w:after="120" w:line="264"/>
        <w:jc w:val="both"/>
      </w:pPr>
      <w:r>
        <w:rPr>
          <w:rFonts w:ascii="Times New Roman" w:cs="Times New Roman" w:eastAsia="Times New Roman" w:hAnsi="Times New Roman"/>
          <w:sz w:val="20"/>
          <w:szCs w:val="20"/>
        </w:rPr>
        <w:t xml:space="preserve">Daily Drilling Reports (DDRs) are the most complete operational record of how a field's wells were built, but they are rarely converted into structured, validated construction timelines, and no such timeline has been published for an openly available field dataset. This paper reconstructs field-scale well construction timelines for the Equinor Volve dataset from 1,759 WITSML DDRs covering 26 wellbores in 11 well families, and validates the result against the Norwegian Offshore Directorate (NOD) FactPages.</w:t>
      </w:r>
    </w:p>
    <w:p>
      <w:pPr>
        <w:spacing w:after="120" w:line="264"/>
        <w:jc w:val="both"/>
      </w:pPr>
      <w:r>
        <w:rPr>
          <w:rFonts w:ascii="Times New Roman" w:cs="Times New Roman" w:eastAsia="Times New Roman" w:hAnsi="Times New Roman"/>
          <w:sz w:val="20"/>
          <w:szCs w:val="20"/>
        </w:rPr>
        <w:t xml:space="preserve">A deterministic, priority-ordered, rule-based classifier assigns each DDR's 24-hour narrative to one of 13 phases. The final classifier version assigns 1,303 DDRs (74.1%). A stratified audit of 50 records, drawn from the 383 unclassified DDRs that carry a genuine narrative, found 26 (52%) describing construction operations the classifier missed: drilling progress reported without a hole size, non-standard abbreviations, and operations such as fishing and fracturing for which no pattern exists. Scaled to the sampled population, this gives an estimated attainable classification rate of 85.4% (95% confidence interval 82.5 to 88.3%).</w:t>
      </w:r>
    </w:p>
    <w:p>
      <w:pPr>
        <w:spacing w:after="120" w:line="264"/>
        <w:jc w:val="both"/>
      </w:pPr>
      <w:r>
        <w:rPr>
          <w:rFonts w:ascii="Times New Roman" w:cs="Times New Roman" w:eastAsia="Times New Roman" w:hAnsi="Times New Roman"/>
          <w:sz w:val="20"/>
          <w:szCs w:val="20"/>
        </w:rPr>
        <w:t xml:space="preserve">Of 24 wellbores with a defensible NOD counterpart, 22 agree exactly on total depth. 15/9-F-15 differs by 15 m, and 15/9-19 S differs by 227 m because the archive does not cover that wellbore's final drilling. All three naming mismatches between the two registers follow the Norwegian designation convention for technical sidetracks. Spud date comparison identified four WITSML data-entry errors, eight definitional offsets, and one wellbore-identity conflation. The archive also stores 73 narratives as the literal string "None" and 331 depths as a sentinel value, neither of which a simple null test detects.</w:t>
      </w:r>
    </w:p>
    <w:p>
      <w:pPr>
        <w:spacing w:after="120" w:line="264"/>
        <w:jc w:val="both"/>
      </w:pPr>
      <w:r>
        <w:rPr>
          <w:rFonts w:ascii="Times New Roman" w:cs="Times New Roman" w:eastAsia="Times New Roman" w:hAnsi="Times New Roman"/>
          <w:sz w:val="20"/>
          <w:szCs w:val="20"/>
        </w:rPr>
        <w:t xml:space="preserve">The output is an open depth-time-phase dataset of 1,421 records, published with the classifier code. It supports days-versus-depth benchmarking and records-based screening of legacy wellbores, and the method transfers to other WITSML 1.4.1.1 archives.</w:t>
      </w:r>
    </w:p>
    <w:p>
      <w:pPr>
        <w:pStyle w:val="Heading1"/>
        <w:keepNext/>
        <w:spacing w:after="120" w:before="240"/>
      </w:pPr>
      <w:r>
        <w:rPr>
          <w:rFonts w:ascii="Times New Roman" w:cs="Times New Roman" w:eastAsia="Times New Roman" w:hAnsi="Times New Roman"/>
          <w:b/>
          <w:bCs/>
          <w:sz w:val="22"/>
          <w:szCs w:val="22"/>
        </w:rPr>
        <w:t xml:space="preserve">1 Introduction</w:t>
      </w:r>
    </w:p>
    <w:p>
      <w:pPr>
        <w:spacing w:after="120" w:line="264"/>
        <w:jc w:val="both"/>
      </w:pPr>
      <w:r>
        <w:rPr>
          <w:rFonts w:ascii="Times New Roman" w:cs="Times New Roman" w:eastAsia="Times New Roman" w:hAnsi="Times New Roman"/>
          <w:sz w:val="20"/>
          <w:szCs w:val="20"/>
        </w:rPr>
        <w:t xml:space="preserve">Daily Drilling Reports are the primary operational record of a well construction campaign. They log depth progress, casing and cementing operations, formation encounters, and non-productive time on a per-report basis. When captured in the WITSML (Wellsite Information Transfer Standard Markup Language) exchange format (Energistics 2012), DDRs carry both structured fields (measured depth, spud date, casing depths) and a free-text narrative summarising the preceding 24 hours of operations. Reconstructing a field-scale construction timeline from this archive requires assigning each report to a construction phase, a task complicated by inconsistent terminology, abbreviation, and the heterogeneity of narrative text accumulated over a field's multi-decade life.</w:t>
      </w:r>
    </w:p>
    <w:p>
      <w:pPr>
        <w:spacing w:after="120" w:line="264"/>
        <w:jc w:val="both"/>
      </w:pPr>
      <w:r>
        <w:rPr>
          <w:rFonts w:ascii="Times New Roman" w:cs="Times New Roman" w:eastAsia="Times New Roman" w:hAnsi="Times New Roman"/>
          <w:sz w:val="20"/>
          <w:szCs w:val="20"/>
        </w:rPr>
        <w:t xml:space="preserve">This paper reconstructs such a timeline for the Equinor Volve field using 1,759 WITSML DDRs across 26 wellbores. It applies a deterministic, priority-ordered rule-based classifier to the narrative of every report, audits the unclassified residual with a formal stratified sample, and validates total depth and spud date against an independent national register, the NOD FactPages (NOD 2026a). The paper is written to be self-contained: a reader with this text, the openly available Volve dataset (Equinor 2018), and the accompanying repository should be able to reproduce every reported figure.</w:t>
      </w:r>
    </w:p>
    <w:p>
      <w:pPr>
        <w:spacing w:after="120" w:line="264"/>
        <w:jc w:val="both"/>
      </w:pPr>
      <w:r>
        <w:rPr>
          <w:rFonts w:ascii="Times New Roman" w:cs="Times New Roman" w:eastAsia="Times New Roman" w:hAnsi="Times New Roman"/>
          <w:sz w:val="20"/>
          <w:szCs w:val="20"/>
        </w:rPr>
        <w:t xml:space="preserve">The contribution is the combination of three elements on a real, openly licensed field archive: a fully transparent classifier, a statistical estimate of what that classifier misses, and validation against a regulator's register across every wellbore rather than a subset. The paper also documents the data-quality characteristics of the Volve DDR archive that any other user of it will meet. The Background section situates the work against published DDR text analytics. The Data and Methods section describes extraction, classification, the audit, and wellbore matching. Data Quality and Results follow, with arithmetic shown at each step, then a Discussion of what the dataset supports, Limitations, and Conclusions.</w:t>
      </w:r>
    </w:p>
    <w:p>
      <w:pPr>
        <w:pStyle w:val="Heading1"/>
        <w:keepNext/>
        <w:spacing w:after="120" w:before="240"/>
      </w:pPr>
      <w:r>
        <w:rPr>
          <w:rFonts w:ascii="Times New Roman" w:cs="Times New Roman" w:eastAsia="Times New Roman" w:hAnsi="Times New Roman"/>
          <w:b/>
          <w:bCs/>
          <w:sz w:val="22"/>
          <w:szCs w:val="22"/>
        </w:rPr>
        <w:t xml:space="preserve">2 Background and Related Work</w:t>
      </w:r>
    </w:p>
    <w:p>
      <w:pPr>
        <w:spacing w:after="120" w:line="264"/>
        <w:jc w:val="both"/>
      </w:pPr>
      <w:r>
        <w:rPr>
          <w:rFonts w:ascii="Times New Roman" w:cs="Times New Roman" w:eastAsia="Times New Roman" w:hAnsi="Times New Roman"/>
          <w:sz w:val="20"/>
          <w:szCs w:val="20"/>
        </w:rPr>
        <w:t xml:space="preserve">Text analytics on drilling reports has developed alongside operators' interest in extracting structured information from legacy narratives. Sidahmed et al. (2015) mined free-text reports from three wells, building a dictionary of rig terms and acronyms with drilling experts and tracking weighted term frequencies over time to flag recurring operational concerns. Priyadarshy et al. (2017) presented a framework for predicting non-productive time causes from unstructured reports. Hoffimann et al. (2017) applied deep natural language processing to classify sentences in drilling reports from hundreds of wells in a single field as events, symptoms, or actions, and noted the difficulty created by technical symbols, abbreviations, misspellings, and incomplete sentences. Zhang et al. (2022) compared keyword-based and embedding-based methods for detecting operational events in drilling remarks and found that accuracy varied across report formats. </w:t>
      </w:r>
      <w:r>
        <w:rPr>
          <w:rFonts w:ascii="Times New Roman" w:cs="Times New Roman" w:eastAsia="Times New Roman" w:hAnsi="Times New Roman"/>
          <w:b/>
          <w:bCs/>
          <w:sz w:val="20"/>
          <w:szCs w:val="20"/>
          <w:highlight w:val="yellow"/>
        </w:rPr>
        <w:t xml:space="preserve">[TJ: verify the Sidahmed et al. (2015) title and author list on OnePetro before submission; only the paper number and content are confirmed.]</w:t>
      </w:r>
    </w:p>
    <w:p>
      <w:pPr>
        <w:spacing w:after="120" w:line="264"/>
        <w:jc w:val="both"/>
      </w:pPr>
      <w:r>
        <w:rPr>
          <w:rFonts w:ascii="Times New Roman" w:cs="Times New Roman" w:eastAsia="Times New Roman" w:hAnsi="Times New Roman"/>
          <w:sz w:val="20"/>
          <w:szCs w:val="20"/>
        </w:rPr>
        <w:t xml:space="preserve">The nearest comparable published work is Karnot et al. (2025), which applies change-point detection, semi-supervised natural language processing, and sequence mining to root-cause analysis of non-productive time events. That study uses 701 DDRs from 10 wells and states that all analyses were conducted on synthetic datasets constructed for the study, not on an openly available field archive. It leaves quantitative performance assessment (precision, recall, or an equivalent accuracy measure) to future work.</w:t>
      </w:r>
    </w:p>
    <w:p>
      <w:pPr>
        <w:spacing w:after="120" w:line="264"/>
        <w:jc w:val="both"/>
      </w:pPr>
      <w:r>
        <w:rPr>
          <w:rFonts w:ascii="Times New Roman" w:cs="Times New Roman" w:eastAsia="Times New Roman" w:hAnsi="Times New Roman"/>
          <w:sz w:val="20"/>
          <w:szCs w:val="20"/>
        </w:rPr>
        <w:t xml:space="preserve">The Volve dataset itself is an established benchmark for drilling analytics. Tunkiel et al. (2020), for example, derived a reference dataset for rate-of-penetration benchmarking from Volve's drilling data. Commercial analyses of Volve DDRs for subsets of wells have been described informally, but to the author's knowledge no study has published a validated, field-wide construction timeline from the Volve DDR narratives.</w:t>
      </w:r>
    </w:p>
    <w:p>
      <w:pPr>
        <w:spacing w:after="120" w:line="264"/>
        <w:jc w:val="both"/>
      </w:pPr>
      <w:r>
        <w:rPr>
          <w:rFonts w:ascii="Times New Roman" w:cs="Times New Roman" w:eastAsia="Times New Roman" w:hAnsi="Times New Roman"/>
          <w:sz w:val="20"/>
          <w:szCs w:val="20"/>
        </w:rPr>
        <w:t xml:space="preserve">The common limitation across the published DDR work is that it relies on proprietary or synthetic data, so its results cannot be reproduced or extended by others. The present paper differs in three respects. It uses a deterministic, auditable classifier, trading model sophistication for transparency of every decision. It works exclusively with a real, openly licensed archive. It pairs classification with a stratified audit of the unclassified residual using a documented sampling frame and a Wilson-score interval (Wilson 1927), and with validation of total depth and spud date against a national register for the complete wellbore population.</w:t>
      </w:r>
    </w:p>
    <w:p>
      <w:pPr>
        <w:pStyle w:val="Heading1"/>
        <w:keepNext/>
        <w:spacing w:after="120" w:before="240"/>
      </w:pPr>
      <w:r>
        <w:rPr>
          <w:rFonts w:ascii="Times New Roman" w:cs="Times New Roman" w:eastAsia="Times New Roman" w:hAnsi="Times New Roman"/>
          <w:b/>
          <w:bCs/>
          <w:sz w:val="22"/>
          <w:szCs w:val="22"/>
        </w:rPr>
        <w:t xml:space="preserve">3 Data and Methods</w:t>
      </w:r>
    </w:p>
    <w:p>
      <w:pPr>
        <w:pStyle w:val="Heading2"/>
        <w:keepNext/>
        <w:spacing w:after="100" w:before="180"/>
      </w:pPr>
      <w:r>
        <w:rPr>
          <w:rFonts w:ascii="Times New Roman" w:cs="Times New Roman" w:eastAsia="Times New Roman" w:hAnsi="Times New Roman"/>
          <w:b/>
          <w:bCs/>
          <w:i/>
          <w:iCs/>
          <w:sz w:val="20"/>
          <w:szCs w:val="20"/>
        </w:rPr>
        <w:t xml:space="preserve">3.1 Data Source and Extraction</w:t>
      </w:r>
    </w:p>
    <w:p>
      <w:pPr>
        <w:spacing w:after="120" w:line="264"/>
        <w:jc w:val="both"/>
      </w:pPr>
      <w:r>
        <w:rPr>
          <w:rFonts w:ascii="Times New Roman" w:cs="Times New Roman" w:eastAsia="Times New Roman" w:hAnsi="Times New Roman"/>
          <w:sz w:val="20"/>
          <w:szCs w:val="20"/>
        </w:rPr>
        <w:t xml:space="preserve">The Volve field (block 15/9, Norwegian North Sea), operated by Equinor (formerly Statoil), was released as an open dataset after decommissioning (Equinor 2018). The DDR archive was extracted from the dataset's WITSML 1.4.1.1 XML files into a single managed table holding 1,759 rows, one per DDR, with no duplicate wellbore and date pairs. The rows cover 26 wellbores in 11 well families: the exploration well 15/9-19 and the platform wells 15/9-F-1, F-4, F-5, F-7, F-9, F-10, F-11, F-12, F-14, and F-15. Columns include the source XML filename, well and wellbore identifiers, report date, spud date (WITSML dTimSpud), measured depth (md_m), kick-off depth (md_kickoff_m), last casing depth (md_csg_last_m), operational parameters, and the free-text 24-hour narrative (sum24Hr). The raw XML archive was not accessible from the compute environment during the final analysis, so the extracted table is the authoritative dataset for this study; it is published in the repository.</w:t>
      </w:r>
    </w:p>
    <w:p>
      <w:pPr>
        <w:spacing w:after="120" w:line="264"/>
        <w:jc w:val="both"/>
      </w:pPr>
      <w:r>
        <w:rPr>
          <w:rFonts w:ascii="Times New Roman" w:cs="Times New Roman" w:eastAsia="Times New Roman" w:hAnsi="Times New Roman"/>
          <w:sz w:val="20"/>
          <w:szCs w:val="20"/>
        </w:rPr>
        <w:t xml:space="preserve">The md_m field is stored as a string and contains two placeholder values: the literal '-999.99', used as a missing-value sentinel, and the literal '0'. Both are excluded, and the remaining values cast to a numeric type, before any depth arithmetic.</w:t>
      </w:r>
    </w:p>
    <w:p>
      <w:pPr>
        <w:pStyle w:val="Heading2"/>
        <w:keepNext/>
        <w:spacing w:after="100" w:before="180"/>
      </w:pPr>
      <w:r>
        <w:rPr>
          <w:rFonts w:ascii="Times New Roman" w:cs="Times New Roman" w:eastAsia="Times New Roman" w:hAnsi="Times New Roman"/>
          <w:b/>
          <w:bCs/>
          <w:i/>
          <w:iCs/>
          <w:sz w:val="20"/>
          <w:szCs w:val="20"/>
        </w:rPr>
        <w:t xml:space="preserve">3.2 Wellbore Designation</w:t>
      </w:r>
    </w:p>
    <w:p>
      <w:pPr>
        <w:spacing w:after="120" w:line="264"/>
        <w:jc w:val="both"/>
      </w:pPr>
      <w:r>
        <w:rPr>
          <w:rFonts w:ascii="Times New Roman" w:cs="Times New Roman" w:eastAsia="Times New Roman" w:hAnsi="Times New Roman"/>
          <w:sz w:val="20"/>
          <w:szCs w:val="20"/>
        </w:rPr>
        <w:t xml:space="preserve">Norwegian wellbore names follow guidelines issued by the national regulator (NOD 2026e). Three suffix conventions matter here. "S" denotes an exploration wellbore planned to be deviated; letters A, B, and so on denote sidetracks; "R" denotes a re-entered exploration wellbore. A technical sidetrack, drilled to bypass a mechanical problem such as stuck pipe rather than to reach a new target, is designated T2 for the first, T3 for the next, and so on. The Volve WITSML archive uses the technical-sidetrack designations 15/9-19 BT2, 15/9-19 ST2, and 15/9-F-11 T2, none of which appears as a separate entry in the NOD register for the field. Section 5.4 shows that this one convention explains every naming mismatch between the two registers.</w:t>
      </w:r>
    </w:p>
    <w:p>
      <w:pPr>
        <w:pStyle w:val="Heading2"/>
        <w:keepNext/>
        <w:spacing w:after="100" w:before="180"/>
      </w:pPr>
      <w:r>
        <w:rPr>
          <w:rFonts w:ascii="Times New Roman" w:cs="Times New Roman" w:eastAsia="Times New Roman" w:hAnsi="Times New Roman"/>
          <w:b/>
          <w:bCs/>
          <w:i/>
          <w:iCs/>
          <w:sz w:val="20"/>
          <w:szCs w:val="20"/>
        </w:rPr>
        <w:t xml:space="preserve">3.3 Phase Classification</w:t>
      </w:r>
    </w:p>
    <w:p>
      <w:pPr>
        <w:spacing w:after="120" w:line="264"/>
        <w:jc w:val="both"/>
      </w:pPr>
      <w:r>
        <w:rPr>
          <w:rFonts w:ascii="Times New Roman" w:cs="Times New Roman" w:eastAsia="Times New Roman" w:hAnsi="Times New Roman"/>
          <w:sz w:val="20"/>
          <w:szCs w:val="20"/>
        </w:rPr>
        <w:t xml:space="preserve">Each DDR's sum24Hr narrative is classified into one of 13 phases: Spud/Conductor, Surface casing, Intermediate drilling, Intermediate casing, Reservoir drilling, Liner/Casing run, Cementing, Completion, P&amp;A, Logging/Testing, Workover, Waiting/Downtime, and Rig move/Setup. A narrative that matches no pattern is left Unclassified. Each phase carries a fixed priority from 1 (highest) to 13 (lowest) and a set of case-insensitive regular expressions, and a DDR is assigned to the highest-priority phase with any matching pattern. Before matching, vulgar-fraction characters (½, ¼, ¾, ⅛) are replaced with ASCII equivalents, because drilling reports frequently express hole and casing sizes with these glyphs. </w:t>
      </w:r>
      <w:r>
        <w:rPr>
          <w:rFonts w:ascii="Times New Roman" w:cs="Times New Roman" w:eastAsia="Times New Roman" w:hAnsi="Times New Roman"/>
          <w:b/>
          <w:bCs/>
          <w:sz w:val="20"/>
          <w:szCs w:val="20"/>
          <w:highlight w:val="yellow"/>
        </w:rPr>
        <w:t xml:space="preserve">[TJ: state the priority order (or confirm it is the order listed above), state how hole size separates Surface, Intermediate and Reservoir phases (e.g. 26 in., 17½ in., 12¼ in., 8½ in.), and add a short table of representative patterns or name the repository file that holds them. A reviewer cannot reproduce the classifier without this.]</w:t>
      </w:r>
    </w:p>
    <w:p>
      <w:pPr>
        <w:spacing w:after="120" w:line="264"/>
        <w:jc w:val="both"/>
      </w:pPr>
      <w:r>
        <w:rPr>
          <w:rFonts w:ascii="Times New Roman" w:cs="Times New Roman" w:eastAsia="Times New Roman" w:hAnsi="Times New Roman"/>
          <w:sz w:val="20"/>
          <w:szCs w:val="20"/>
        </w:rPr>
        <w:t xml:space="preserve">Three versions of the classifier were developed, each refining the pattern set for individual phases. The final version, v3, is used throughout this paper.</w:t>
      </w:r>
    </w:p>
    <w:p>
      <w:pPr>
        <w:pStyle w:val="Heading2"/>
        <w:keepNext/>
        <w:spacing w:after="100" w:before="180"/>
      </w:pPr>
      <w:r>
        <w:rPr>
          <w:rFonts w:ascii="Times New Roman" w:cs="Times New Roman" w:eastAsia="Times New Roman" w:hAnsi="Times New Roman"/>
          <w:b/>
          <w:bCs/>
          <w:i/>
          <w:iCs/>
          <w:sz w:val="20"/>
          <w:szCs w:val="20"/>
        </w:rPr>
        <w:t xml:space="preserve">3.4 Stratified Audit of the Unclassified Residual</w:t>
      </w:r>
    </w:p>
    <w:p>
      <w:pPr>
        <w:spacing w:after="120" w:line="264"/>
        <w:jc w:val="both"/>
      </w:pPr>
      <w:r>
        <w:rPr>
          <w:rFonts w:ascii="Times New Roman" w:cs="Times New Roman" w:eastAsia="Times New Roman" w:hAnsi="Times New Roman"/>
          <w:sz w:val="20"/>
          <w:szCs w:val="20"/>
        </w:rPr>
        <w:t xml:space="preserve">The audit estimates how many unclassified DDRs describe construction operations the pattern set failed to catch. First, a leak check reapplied the complete v3 pattern set to every unclassified record to confirm that no pipeline error had mislabelled a record that should have matched; none had. Second, every unclassified record was assigned to one of eleven descriptive categories (for example BOP_RISER, GENERIC_TRIP, PRODUCTION_MON, and EMPTY_RECORD) using patterns built from direct inspection of the unclassified population. The largest category is BOP and marine riser handling (147 of 456 records, 32.2%). The 73 records in EMPTY_RECORD have a sum24Hr field containing the literal string "None" (Section 4) and cannot be classified by any text method, so they were excluded from the sampling frame, leaving 383 records.</w:t>
      </w:r>
    </w:p>
    <w:p>
      <w:pPr>
        <w:spacing w:after="120" w:line="264"/>
        <w:jc w:val="both"/>
      </w:pPr>
      <w:r>
        <w:rPr>
          <w:rFonts w:ascii="Times New Roman" w:cs="Times New Roman" w:eastAsia="Times New Roman" w:hAnsi="Times New Roman"/>
          <w:sz w:val="20"/>
          <w:szCs w:val="20"/>
        </w:rPr>
        <w:t xml:space="preserve">A stratified sample of 50 records was drawn from these 383 with a fixed random seed of 42. Two strata were defined: construction era (DDR within 730 days of the wellbore's first DDR, 296 records) and production era (more than 730 days after, 87 records); 296 + 87 = 383. Allocation was proportional, 39 construction-era and 11 production-era records (39 + 11 = 50). Each sampled record was adjudicated as CONSTRUCTION or NON_CONSTRUCTION according to whether it described explicit drilling progress, coring, casing, cementing, plug activity, fishing, or completion milestones. BOP and riser handling was adjudicated NON_CONSTRUCTION unless it also named a specific hole or casing size. </w:t>
      </w:r>
      <w:r>
        <w:rPr>
          <w:rFonts w:ascii="Times New Roman" w:cs="Times New Roman" w:eastAsia="Times New Roman" w:hAnsi="Times New Roman"/>
          <w:b/>
          <w:bCs/>
          <w:sz w:val="20"/>
          <w:szCs w:val="20"/>
          <w:highlight w:val="yellow"/>
        </w:rPr>
        <w:t xml:space="preserve">[TJ: confirm who adjudicated the 50 records. If it was you, keep "by the author" in Limitations. If an AI tool did any part of the adjudication, say so here and in the AI disclosure.]</w:t>
      </w:r>
    </w:p>
    <w:p>
      <w:pPr>
        <w:pStyle w:val="Heading2"/>
        <w:keepNext/>
        <w:spacing w:after="100" w:before="180"/>
      </w:pPr>
      <w:r>
        <w:rPr>
          <w:rFonts w:ascii="Times New Roman" w:cs="Times New Roman" w:eastAsia="Times New Roman" w:hAnsi="Times New Roman"/>
          <w:b/>
          <w:bCs/>
          <w:i/>
          <w:iCs/>
          <w:sz w:val="20"/>
          <w:szCs w:val="20"/>
        </w:rPr>
        <w:t xml:space="preserve">3.5 External Validation Against NOD FactPages</w:t>
      </w:r>
    </w:p>
    <w:p>
      <w:pPr>
        <w:spacing w:after="120" w:line="264"/>
        <w:jc w:val="both"/>
      </w:pPr>
      <w:r>
        <w:rPr>
          <w:rFonts w:ascii="Times New Roman" w:cs="Times New Roman" w:eastAsia="Times New Roman" w:hAnsi="Times New Roman"/>
          <w:sz w:val="20"/>
          <w:szCs w:val="20"/>
        </w:rPr>
        <w:t xml:space="preserve">Total depth and spud date were compared with the NOD FactPages (NOD 2026a). The Table View export was filtered to Volve wellbores and matched primarily by exact name. Three WITSML wellbores were matched by depth instead, each a technical sidetrack: 15/9-19 BT2 to NOD 15/9-19 B (both 4,250 m), 15/9-19 ST2 to NOD 15/9-19 SR (both 4,641 m), and 15/9-F-11 T2 to NOD 15/9-F-11 (4,562.1 m and 4,562.0 m).</w:t>
      </w:r>
    </w:p>
    <w:p>
      <w:pPr>
        <w:spacing w:after="120" w:line="264"/>
        <w:jc w:val="both"/>
      </w:pPr>
      <w:r>
        <w:rPr>
          <w:rFonts w:ascii="Times New Roman" w:cs="Times New Roman" w:eastAsia="Times New Roman" w:hAnsi="Times New Roman"/>
          <w:sz w:val="20"/>
          <w:szCs w:val="20"/>
        </w:rPr>
        <w:t xml:space="preserve">For the 15/9-19 series, the DDR narratives show the physical events behind the designations, and the NOD wellbore histories (NOD 2026b, 2026c, 2026d) are consistent with them. In 15/9-19 B the drillstring became stuck at 3,272 m; the string was backed off and cut, a sidetrack plug was set, and new hole was kicked off from 2,911 m under the identity 15/9-19 BT2, whose first report reads "REPORTING TRANSFERRED FROM 15/9-19B". 15/9-19 S shows the same sequence: stuck pipe at approximately 2,741 m, a backed-off and cut string, sidetrack language in the narrative ("MU BHA FOR SIDE TRACK"), and new hole from approximately 1,536 m under the identity 15/9-19 ST2. In each case NOD records the final total depth against the parent designation.</w:t>
      </w:r>
    </w:p>
    <w:p>
      <w:pPr>
        <w:pStyle w:val="Heading2"/>
        <w:keepNext/>
        <w:spacing w:after="100" w:before="180"/>
      </w:pPr>
      <w:r>
        <w:rPr>
          <w:rFonts w:ascii="Times New Roman" w:cs="Times New Roman" w:eastAsia="Times New Roman" w:hAnsi="Times New Roman"/>
          <w:b/>
          <w:bCs/>
          <w:i/>
          <w:iCs/>
          <w:sz w:val="20"/>
          <w:szCs w:val="20"/>
        </w:rPr>
        <w:t xml:space="preserve">3.6 Changes Since the Conference Proposal</w:t>
      </w:r>
    </w:p>
    <w:p>
      <w:pPr>
        <w:spacing w:after="120" w:line="264"/>
        <w:jc w:val="both"/>
      </w:pPr>
      <w:r>
        <w:rPr>
          <w:rFonts w:ascii="Times New Roman" w:cs="Times New Roman" w:eastAsia="Times New Roman" w:hAnsi="Times New Roman"/>
          <w:sz w:val="20"/>
          <w:szCs w:val="20"/>
        </w:rPr>
        <w:t xml:space="preserve">The work reported here supersedes the preliminary figures in the conference proposal for this paper in three respects. The unit of analysis is the wellbore (26) rather than the well. NOD validation was extended from seven wells to the full population. The formal stratified audit described above replaced a preliminary screening of an earlier classifier output, and it finds a substantially larger share of construction content in the unclassified residual than the preliminary screening suggested. The figures in this paper should be used in preference to those in the proposal.</w:t>
      </w:r>
    </w:p>
    <w:p>
      <w:pPr>
        <w:pStyle w:val="Heading1"/>
        <w:keepNext/>
        <w:spacing w:after="120" w:before="240"/>
      </w:pPr>
      <w:r>
        <w:rPr>
          <w:rFonts w:ascii="Times New Roman" w:cs="Times New Roman" w:eastAsia="Times New Roman" w:hAnsi="Times New Roman"/>
          <w:b/>
          <w:bCs/>
          <w:sz w:val="22"/>
          <w:szCs w:val="22"/>
        </w:rPr>
        <w:t xml:space="preserve">4 Data Quality</w:t>
      </w:r>
    </w:p>
    <w:p>
      <w:pPr>
        <w:spacing w:after="120" w:line="264"/>
        <w:jc w:val="both"/>
      </w:pPr>
      <w:r>
        <w:rPr>
          <w:rFonts w:ascii="Times New Roman" w:cs="Times New Roman" w:eastAsia="Times New Roman" w:hAnsi="Times New Roman"/>
          <w:sz w:val="20"/>
          <w:szCs w:val="20"/>
        </w:rPr>
        <w:t xml:space="preserve">A population survey of ten WITSML-derived columns was conducted across all 1,759 DDRs (Table 1).</w:t>
      </w:r>
    </w:p>
    <w:p>
      <w:pPr>
        <w:keepNext/>
        <w:spacing w:after="80" w:before="160"/>
      </w:pPr>
      <w:r>
        <w:rPr>
          <w:rFonts w:ascii="Times New Roman" w:cs="Times New Roman" w:eastAsia="Times New Roman" w:hAnsi="Times New Roman"/>
          <w:b/>
          <w:bCs/>
          <w:sz w:val="20"/>
          <w:szCs w:val="20"/>
        </w:rPr>
        <w:t xml:space="preserve">Table 1: Field population survey (n = 1,759 DDRs)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4360"/>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Column</w:t>
            </w:r>
          </w:p>
        </w:tc>
        <w:tc>
          <w:tcPr>
            <w:tcW w:type="dxa" w:w="13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Populated</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Count</w:t>
            </w:r>
          </w:p>
        </w:tc>
        <w:tc>
          <w:tcPr>
            <w:tcW w:type="dxa" w:w="436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Notes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date_report</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1,759</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spud_date</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1,759</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Includes inherited and erroneous values (Section 5.5)</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rig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1,759</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forecast24hr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1,759</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operator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99.94%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1,758</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 record missing</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md_csg_last_m</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96.76%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1,702</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sum24Hr (genuine narrative)</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95.85%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1,686</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73 literal "None" strings excluded</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drill_complete</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91.70%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1,613</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md_m (excluding sentinel and zero)</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80.78%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1,421</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331 sentinel and 7 zero values excluded</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md_kickoff_m</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14.10%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248</w:t>
            </w:r>
          </w:p>
        </w:tc>
        <w:tc>
          <w:tcPr>
            <w:tcW w:type="dxa" w:w="43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Free-text recovery required</w:t>
            </w:r>
          </w:p>
        </w:tc>
      </w:tr>
    </w:tbl>
    <w:p>
      <w:pPr>
        <w:spacing w:after="160"/>
      </w:pPr>
      <w:r>
        <w:rPr>
          <w:rFonts w:ascii="Times New Roman" w:cs="Times New Roman" w:eastAsia="Times New Roman" w:hAnsi="Times New Roman"/>
          <w:i/>
          <w:iCs/>
          <w:sz w:val="18"/>
          <w:szCs w:val="18"/>
        </w:rPr>
        <w:t xml:space="preserve">Percentages are count / 1,759, rounded to two decimal places.</w:t>
      </w:r>
    </w:p>
    <w:p>
      <w:pPr>
        <w:spacing w:after="120" w:line="264"/>
        <w:jc w:val="both"/>
      </w:pPr>
      <w:r>
        <w:rPr>
          <w:rFonts w:ascii="Times New Roman" w:cs="Times New Roman" w:eastAsia="Times New Roman" w:hAnsi="Times New Roman"/>
          <w:sz w:val="20"/>
          <w:szCs w:val="20"/>
        </w:rPr>
        <w:t xml:space="preserve">The structured kick-off field is populated in only 14.10% of rows (248 of 1,759), which is why free-text and depth-sequence methods were needed to establish sidetrack kick-off depths (Section 5.6).</w:t>
      </w:r>
    </w:p>
    <w:p>
      <w:pPr>
        <w:spacing w:after="120" w:line="264"/>
        <w:jc w:val="both"/>
      </w:pPr>
      <w:r>
        <w:rPr>
          <w:rFonts w:ascii="Times New Roman" w:cs="Times New Roman" w:eastAsia="Times New Roman" w:hAnsi="Times New Roman"/>
          <w:sz w:val="20"/>
          <w:szCs w:val="20"/>
        </w:rPr>
        <w:t xml:space="preserve">A standard null-or-blank check reports 100% population for sum24Hr, but 73 records contain the literal string "None", almost certainly the product of a Python str(None) conversion during the original extraction. A null test cannot detect a non-empty placeholder of this kind. Correcting for it, the genuine narrative population is 95.85% (1,686 of 1,759).</w:t>
      </w:r>
    </w:p>
    <w:p>
      <w:pPr>
        <w:spacing w:after="120" w:line="264"/>
        <w:jc w:val="both"/>
      </w:pPr>
      <w:r>
        <w:rPr>
          <w:rFonts w:ascii="Times New Roman" w:cs="Times New Roman" w:eastAsia="Times New Roman" w:hAnsi="Times New Roman"/>
          <w:sz w:val="20"/>
          <w:szCs w:val="20"/>
        </w:rPr>
        <w:t xml:space="preserve">A character-level survey of sum24Hr found two non-ASCII characters relevant to classification: the vulgar fraction one-half (½) in 61 DDRs (82 occurrences) and one-quarter (¼) in 10 DDRs (14 occurrences). Both are normalised before pattern matching. One further anomaly is a single record for 15/9-19 A dated 1 January 1980 (filename 15_9_19_A_1980_01_01.xml, narrative "None", no measured depth), 17.5 years before that wellbore's first genuine report on 25 July 1997. It is a date sentinel, not a drilling report.</w:t>
      </w:r>
    </w:p>
    <w:p>
      <w:pPr>
        <w:pStyle w:val="Heading1"/>
        <w:keepNext/>
        <w:spacing w:after="120" w:before="240"/>
      </w:pPr>
      <w:r>
        <w:rPr>
          <w:rFonts w:ascii="Times New Roman" w:cs="Times New Roman" w:eastAsia="Times New Roman" w:hAnsi="Times New Roman"/>
          <w:b/>
          <w:bCs/>
          <w:sz w:val="22"/>
          <w:szCs w:val="22"/>
        </w:rPr>
        <w:t xml:space="preserve">5 Results</w:t>
      </w:r>
    </w:p>
    <w:p>
      <w:pPr>
        <w:pStyle w:val="Heading2"/>
        <w:keepNext/>
        <w:spacing w:after="100" w:before="180"/>
      </w:pPr>
      <w:r>
        <w:rPr>
          <w:rFonts w:ascii="Times New Roman" w:cs="Times New Roman" w:eastAsia="Times New Roman" w:hAnsi="Times New Roman"/>
          <w:b/>
          <w:bCs/>
          <w:i/>
          <w:iCs/>
          <w:sz w:val="20"/>
          <w:szCs w:val="20"/>
        </w:rPr>
        <w:t xml:space="preserve">5.1 Classification Rate</w:t>
      </w:r>
    </w:p>
    <w:p>
      <w:pPr>
        <w:spacing w:after="120" w:line="264"/>
        <w:jc w:val="both"/>
      </w:pPr>
      <w:r>
        <w:rPr>
          <w:rFonts w:ascii="Times New Roman" w:cs="Times New Roman" w:eastAsia="Times New Roman" w:hAnsi="Times New Roman"/>
          <w:sz w:val="20"/>
          <w:szCs w:val="20"/>
        </w:rPr>
        <w:t xml:space="preserve">Applying v3 to all 1,759 DDRs classifies 1,303 records (74.1%) and leaves 456 unclassified (25.9%); 1,303 + 456 = 1,759. The result was checked three ways: a row-count query (1,759), a differently worded phase-distribution query returning identical per-phase counts, and manual tracing of eight randomly selected records against their matching or non-matching expressions. Table 2 gives the phase distribution, and Fig. 1 shows the classified phases on depth-versus-time curves for four representative wellbores.</w:t>
      </w:r>
    </w:p>
    <w:p>
      <w:pPr>
        <w:keepNext/>
        <w:spacing w:after="80" w:before="160"/>
      </w:pPr>
      <w:r>
        <w:rPr>
          <w:rFonts w:ascii="Times New Roman" w:cs="Times New Roman" w:eastAsia="Times New Roman" w:hAnsi="Times New Roman"/>
          <w:b/>
          <w:bCs/>
          <w:sz w:val="20"/>
          <w:szCs w:val="20"/>
        </w:rPr>
        <w:t xml:space="preserve">Table 2: Phase distribution, v3 classifier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tblGrid>
      <w:tr>
        <w:trPr>
          <w:cantSplit/>
          <w:tblHeader/>
        </w:trPr>
        <w:tc>
          <w:tcPr>
            <w:tcW w:type="dxa" w:w="40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Phase</w:t>
            </w:r>
          </w:p>
        </w:tc>
        <w:tc>
          <w:tcPr>
            <w:tcW w:type="dxa" w:w="20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DDR count</w:t>
            </w:r>
          </w:p>
        </w:tc>
        <w:tc>
          <w:tcPr>
            <w:tcW w:type="dxa" w:w="20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 of 1,759</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Reservoir drilling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256</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14.6</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Completion</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228</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13.0</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Liner/Casing run</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144</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8.2</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Waiting/Downtime</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120</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6.8</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Cementing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100</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5.7</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Logging/Testing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93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5.3</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Intermediate casing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82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4.7</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Intermediate drilling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77</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4.4</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Surface casing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66</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3.8</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Spud/Conductor</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3.0</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P&amp;A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41</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2.3</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Rig move/Setup</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38</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2.2</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Workover</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6</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0.3</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Unclassified</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456</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25.9</w:t>
            </w:r>
          </w:p>
        </w:tc>
      </w:tr>
      <w:tr>
        <w:trPr>
          <w:cantSplit/>
          <w:tblHeader w:val="off"/>
        </w:trPr>
        <w:tc>
          <w:tcPr>
            <w:tcW w:type="dxa" w:w="4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Total</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1,759</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bl>
    <w:p>
      <w:pPr>
        <w:spacing w:after="160"/>
      </w:pPr>
      <w:r>
        <w:rPr>
          <w:rFonts w:ascii="Times New Roman" w:cs="Times New Roman" w:eastAsia="Times New Roman" w:hAnsi="Times New Roman"/>
          <w:i/>
          <w:iCs/>
          <w:sz w:val="18"/>
          <w:szCs w:val="18"/>
        </w:rPr>
        <w:t xml:space="preserve">Percentages are rounded independently and may not sum to exactly 100.0%.</w:t>
      </w:r>
    </w:p>
    <w:p>
      <w:pPr>
        <w:pStyle w:val="Heading2"/>
        <w:keepNext/>
        <w:spacing w:after="100" w:before="180"/>
      </w:pPr>
      <w:r>
        <w:rPr>
          <w:rFonts w:ascii="Times New Roman" w:cs="Times New Roman" w:eastAsia="Times New Roman" w:hAnsi="Times New Roman"/>
          <w:b/>
          <w:bCs/>
          <w:i/>
          <w:iCs/>
          <w:sz w:val="20"/>
          <w:szCs w:val="20"/>
        </w:rPr>
        <w:t xml:space="preserve">5.2 Stratified Audit and Attainable Classification Rate</w:t>
      </w:r>
    </w:p>
    <w:p>
      <w:pPr>
        <w:spacing w:after="120" w:line="264"/>
        <w:jc w:val="both"/>
      </w:pPr>
      <w:r>
        <w:rPr>
          <w:rFonts w:ascii="Times New Roman" w:cs="Times New Roman" w:eastAsia="Times New Roman" w:hAnsi="Times New Roman"/>
          <w:sz w:val="20"/>
          <w:szCs w:val="20"/>
        </w:rPr>
        <w:t xml:space="preserve">Of the 50 sampled records, 26 (52%) were adjudicated CONSTRUCTION and 24 (48%) NON_CONSTRUCTION. The construction-era sample (39 records) split 23 construction to 16 non-construction, and the production-era sample (11 records) split 3 to 8. The 26 misses fall into three groups: NO_HOLE_SIZE, genuine drilling reported without a hole-size dimension (9); OTHER_MISS, operations such as hydraulic fracturing or fishing with no corresponding pattern (10); and NONSTANDARD_TERMINOLOGY, abbreviations such as "CMT" for cement (7); 9 + 10 + 7 = 26.</w:t>
      </w:r>
    </w:p>
    <w:p>
      <w:pPr>
        <w:spacing w:after="120" w:line="264"/>
        <w:jc w:val="both"/>
      </w:pPr>
      <w:r>
        <w:rPr>
          <w:rFonts w:ascii="Times New Roman" w:cs="Times New Roman" w:eastAsia="Times New Roman" w:hAnsi="Times New Roman"/>
          <w:sz w:val="20"/>
          <w:szCs w:val="20"/>
        </w:rPr>
        <w:t xml:space="preserve">The sample proportion is 26/50 = 0.520, with a Wilson-score 95% interval of 0.385 to 0.652. Because the sample was drawn from the 383 records with a genuine narrative, the proportion is scaled by that population, not by all 456 unclassified records: 383/1,759 = 0.2177, so the estimated residual miss is 0.520 × 0.2177 = 0.1132, or 11.3 percentage points (approximately 199 DDRs). Adding this to the observed rate (1,303/1,759 = 0.7408) gives an estimated attainable classification rate of 85.4%. Propagating the Wilson interval gives 0.7408 + 0.385 × 0.2177 = 0.825 and 0.7408 + 0.652 × 0.2177 = 0.883, a 95% interval of 82.5 to 88.3%. Weighting the two strata by their population shares (296/383 and 87/383) gives a sample proportion of 0.518 and an attainable rate of 85.3%, so the result does not depend on whether the estimate is stratum-weighted.</w:t>
      </w:r>
    </w:p>
    <w:p>
      <w:pPr>
        <w:spacing w:after="120" w:line="264"/>
        <w:jc w:val="both"/>
      </w:pPr>
      <w:r>
        <w:rPr>
          <w:rFonts w:ascii="Times New Roman" w:cs="Times New Roman" w:eastAsia="Times New Roman" w:hAnsi="Times New Roman"/>
          <w:sz w:val="20"/>
          <w:szCs w:val="20"/>
        </w:rPr>
        <w:t xml:space="preserve">The 73 EMPTY_RECORD DDRs are excluded from the attainable rate because no text method can classify them. Even a perfect pattern set would therefore leave at least 4.2% of DDRs (73/1,759) unclassified.</w:t>
      </w:r>
    </w:p>
    <w:p>
      <w:pPr>
        <w:pStyle w:val="Heading2"/>
        <w:keepNext/>
        <w:spacing w:after="100" w:before="180"/>
      </w:pPr>
      <w:r>
        <w:rPr>
          <w:rFonts w:ascii="Times New Roman" w:cs="Times New Roman" w:eastAsia="Times New Roman" w:hAnsi="Times New Roman"/>
          <w:b/>
          <w:bCs/>
          <w:i/>
          <w:iCs/>
          <w:sz w:val="20"/>
          <w:szCs w:val="20"/>
        </w:rPr>
        <w:t xml:space="preserve">5.3 Timeline Dataset</w:t>
      </w:r>
    </w:p>
    <w:p>
      <w:pPr>
        <w:spacing w:after="120" w:line="264"/>
        <w:jc w:val="both"/>
      </w:pPr>
      <w:r>
        <w:rPr>
          <w:rFonts w:ascii="Times New Roman" w:cs="Times New Roman" w:eastAsia="Times New Roman" w:hAnsi="Times New Roman"/>
          <w:sz w:val="20"/>
          <w:szCs w:val="20"/>
        </w:rPr>
        <w:t xml:space="preserve">The timeline dataset contains one row per DDR with a genuine md_m value. Of 1,759 DDRs, 331 carry the sentinel and 7 the zero value, giving 1,759 − 331 − 7 = 1,421 rows; a direct query against the classified table returned exactly 1,421. Each row carries wellbore identifier, report date, days from first DDR, measured depth, assigned phase, and source filename. Fig. 2 plots days since first DDR against measured depth for all 26 wellbores.</w:t>
      </w:r>
    </w:p>
    <w:p>
      <w:pPr>
        <w:pStyle w:val="Heading2"/>
        <w:keepNext/>
        <w:spacing w:after="100" w:before="180"/>
      </w:pPr>
      <w:r>
        <w:rPr>
          <w:rFonts w:ascii="Times New Roman" w:cs="Times New Roman" w:eastAsia="Times New Roman" w:hAnsi="Times New Roman"/>
          <w:b/>
          <w:bCs/>
          <w:i/>
          <w:iCs/>
          <w:sz w:val="20"/>
          <w:szCs w:val="20"/>
        </w:rPr>
        <w:t xml:space="preserve">5.4 Total Depth Validation</w:t>
      </w:r>
    </w:p>
    <w:p>
      <w:pPr>
        <w:spacing w:after="120" w:line="264"/>
        <w:jc w:val="both"/>
      </w:pPr>
      <w:r>
        <w:rPr>
          <w:rFonts w:ascii="Times New Roman" w:cs="Times New Roman" w:eastAsia="Times New Roman" w:hAnsi="Times New Roman"/>
          <w:sz w:val="20"/>
          <w:szCs w:val="20"/>
        </w:rPr>
        <w:t xml:space="preserve">Maximum reconstructed measured depth per wellbore was compared with NOD's total depth for all 26 wellbores (Table 3, Fig. 3).</w:t>
      </w:r>
    </w:p>
    <w:p>
      <w:pPr>
        <w:keepNext/>
        <w:spacing w:after="80" w:before="160"/>
      </w:pPr>
      <w:r>
        <w:rPr>
          <w:rFonts w:ascii="Times New Roman" w:cs="Times New Roman" w:eastAsia="Times New Roman" w:hAnsi="Times New Roman"/>
          <w:b/>
          <w:bCs/>
          <w:sz w:val="20"/>
          <w:szCs w:val="20"/>
        </w:rPr>
        <w:t xml:space="preserve">Table 3: Total depth validation, all 26 wellbores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100"/>
        <w:gridCol w:w="850"/>
        <w:gridCol w:w="1100"/>
        <w:gridCol w:w="3660"/>
      </w:tblGrid>
      <w:tr>
        <w:trPr>
          <w:cantSplit/>
          <w:tblHeader/>
        </w:trPr>
        <w:tc>
          <w:tcPr>
            <w:tcW w:type="dxa" w:w="15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Wellbore (WITSML)</w:t>
            </w:r>
          </w:p>
        </w:tc>
        <w:tc>
          <w:tcPr>
            <w:tcW w:type="dxa" w:w="11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WITSML max MD (m)</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NOD TD (m)</w:t>
            </w:r>
          </w:p>
        </w:tc>
        <w:tc>
          <w:tcPr>
            <w:tcW w:type="dxa" w:w="8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Diff. (m)</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Outcome</w:t>
            </w:r>
          </w:p>
        </w:tc>
        <w:tc>
          <w:tcPr>
            <w:tcW w:type="dxa" w:w="366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Note</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15/9-19 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4,131.0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4,131.0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15/9-19 B</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3,272.0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n/a</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n/a</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Unmatched</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Parent leg abandoned at stuck pipe; NOD 19 B TD matches 19 BT2</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15/9-19 BT2</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4,250.0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4,250.0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Technical sidetrack, matched to NOD 15/9-19 B</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15/9-19 S</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3,353.0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3,580.0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227.0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Close</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Archive ends before final drilling</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15/9-19 ST2</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4,641.0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4,641.0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Technical sidetrack, matched to NOD 15/9-19 SR</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3,632.0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3,632.0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 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3,682.0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3,682.0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 B</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3,465.0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3,465.0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 C</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4,094.0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4,094.0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15/9-F-10</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5,331.0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5,331.0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15/9-F-11</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347.0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n/a</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n/a</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Unmatched</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Parent leg; NOD 15/9-F-11 TD matches F-11 T2</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15/9-F-11 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3,762.0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3,762.0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15/9-F-11 B</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4,770.0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4,770.0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15/9-F-11 T2</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4,562.1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4,562.0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Technical sidetrack, matched to NOD 15/9-F-11</w:t>
            </w: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15/9-F-12</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3,520.0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3,520.0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3,750.0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3,750.0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15/9-F-15</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4,090.0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4,105.0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Close</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15/9-F-15 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4,095.0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4,095.0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15/9-F-15 B</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3,497.0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3,497.0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15/9-F-15 C</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3,232.0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3,232.0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15/9-F-15 D</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4,685.0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4,685.0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15/9-F-4</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3,510.0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3,510.0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15/9-F-5</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3,792.0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3,792.0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15/9-F-7</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1,085.0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1,085.0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15/9-F-9</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1,085.0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1,085.0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15/9-F-9 A</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1,206.0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1,206.0</w:t>
            </w:r>
          </w:p>
        </w:tc>
        <w:tc>
          <w:tcPr>
            <w:tcW w:type="dxa" w:w="8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w:t>
            </w:r>
          </w:p>
        </w:tc>
        <w:tc>
          <w:tcPr>
            <w:tcW w:type="dxa" w:w="36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bl>
    <w:p>
      <w:pPr>
        <w:spacing w:after="160"/>
      </w:pPr>
      <w:r>
        <w:rPr>
          <w:rFonts w:ascii="Times New Roman" w:cs="Times New Roman" w:eastAsia="Times New Roman" w:hAnsi="Times New Roman"/>
          <w:i/>
          <w:iCs/>
          <w:sz w:val="18"/>
          <w:szCs w:val="18"/>
        </w:rPr>
        <w:t xml:space="preserve">Exact: difference of 0.5 m or less.</w:t>
      </w:r>
    </w:p>
    <w:p>
      <w:pPr>
        <w:spacing w:after="120" w:line="264"/>
        <w:jc w:val="both"/>
      </w:pPr>
      <w:r>
        <w:rPr>
          <w:rFonts w:ascii="Times New Roman" w:cs="Times New Roman" w:eastAsia="Times New Roman" w:hAnsi="Times New Roman"/>
          <w:sz w:val="20"/>
          <w:szCs w:val="20"/>
        </w:rPr>
        <w:t xml:space="preserve">Of 26 wellbores, 24 have a defensible NOD counterpart. Of these, 22 agree exactly, 15/9-F-15 differs by 15 m (0.4%), and 15/9-19 S differs by 227 m. Restricting the comparison to the 19 F-series wellbores matched by literal name, 18 (94.7%) agree exactly, the exception again being 15/9-F-15. 15/9-F-7 and 15/9-F-9 share a total depth of 1,085 m; because NOD independently records 1,085 m for each, the shared value is not a duplication in the extraction.</w:t>
      </w:r>
    </w:p>
    <w:p>
      <w:pPr>
        <w:spacing w:after="120" w:line="264"/>
        <w:jc w:val="both"/>
      </w:pPr>
      <w:r>
        <w:rPr>
          <w:rFonts w:ascii="Times New Roman" w:cs="Times New Roman" w:eastAsia="Times New Roman" w:hAnsi="Times New Roman"/>
          <w:sz w:val="20"/>
          <w:szCs w:val="20"/>
        </w:rPr>
        <w:t xml:space="preserve">The two unmatched wellbores and the three depth-based matches share one explanation. Each WITSML technical sidetrack (19 BT2, 19 ST2, F-11 T2) has no separate NOD entry, and NOD instead records the sidetrack's final total depth against the parent designation (19 B, 19 SR, F-11). The WITSML parent records that end short of that depth, 15/9-19 B at 3,272 m and 15/9-F-11 at 347 m, are the legs abandoned when the technical sidetrack was drilled, so they have no NOD counterpart. For 15/9-19 B the stuck-pipe event is documented in the narrative (Section 3.5); for 15/9-F-11 the designation is the evidence. The divergence is structural: the operator's WITSML system tracks each drilled leg, while the national register records the wellbore. It is not an error in either register.</w:t>
      </w:r>
    </w:p>
    <w:p>
      <w:pPr>
        <w:spacing w:after="120" w:line="264"/>
        <w:jc w:val="both"/>
      </w:pPr>
      <w:r>
        <w:rPr>
          <w:rFonts w:ascii="Times New Roman" w:cs="Times New Roman" w:eastAsia="Times New Roman" w:hAnsi="Times New Roman"/>
          <w:sz w:val="20"/>
          <w:szCs w:val="20"/>
        </w:rPr>
        <w:t xml:space="preserve">15/9-19 S was an original exploration wellbore targeting the Theta Vest structure north of Sleipner East, planned as deviated, consistent with its "S" suffix. NOD's wellbore history records it as temporarily suspended at 3,569.0 m (2,394.0 m TVD RKB), immediately above the Heimdal sands (NOD 2026d). The WITSML series ends at 3,353 m, 227 m short of NOD's structured total depth (3,580.0 m) and 216 m short of the suspension depth in NOD's history text; the 11.0 m difference between those two NOD values is internal to the register. Table 3 uses the structured field, consistent with every other wellbore. The 227 m gap is a records-coverage gap: the archive does not contain reports for this wellbore's final drilling and suspension.</w:t>
      </w:r>
    </w:p>
    <w:p>
      <w:pPr>
        <w:pStyle w:val="Heading2"/>
        <w:keepNext/>
        <w:spacing w:after="100" w:before="180"/>
      </w:pPr>
      <w:r>
        <w:rPr>
          <w:rFonts w:ascii="Times New Roman" w:cs="Times New Roman" w:eastAsia="Times New Roman" w:hAnsi="Times New Roman"/>
          <w:b/>
          <w:bCs/>
          <w:i/>
          <w:iCs/>
          <w:sz w:val="20"/>
          <w:szCs w:val="20"/>
        </w:rPr>
        <w:t xml:space="preserve">5.5 Spud Date Validation</w:t>
      </w:r>
    </w:p>
    <w:p>
      <w:pPr>
        <w:spacing w:after="120" w:line="264"/>
        <w:jc w:val="both"/>
      </w:pPr>
      <w:r>
        <w:rPr>
          <w:rFonts w:ascii="Times New Roman" w:cs="Times New Roman" w:eastAsia="Times New Roman" w:hAnsi="Times New Roman"/>
          <w:sz w:val="20"/>
          <w:szCs w:val="20"/>
        </w:rPr>
        <w:t xml:space="preserve">Spud date was compared across three sources for every wellbore: the WITSML spud_date field, free-text spud language in the wellbore's earliest DDRs, and the NOD entry date. Table 4 summarises the outcome, and Fig. 4 plots the offset (WITSML minus NOD) by category. </w:t>
      </w:r>
      <w:r>
        <w:rPr>
          <w:rFonts w:ascii="Times New Roman" w:cs="Times New Roman" w:eastAsia="Times New Roman" w:hAnsi="Times New Roman"/>
          <w:b/>
          <w:bCs/>
          <w:sz w:val="20"/>
          <w:szCs w:val="20"/>
          <w:highlight w:val="yellow"/>
        </w:rPr>
        <w:t xml:space="preserve">[TJ: define the tolerance for "Exact" (same calendar date?) and the day range that separates a definitional offset from an error.]</w:t>
      </w:r>
    </w:p>
    <w:p>
      <w:pPr>
        <w:keepNext/>
        <w:spacing w:after="80" w:before="160"/>
      </w:pPr>
      <w:r>
        <w:rPr>
          <w:rFonts w:ascii="Times New Roman" w:cs="Times New Roman" w:eastAsia="Times New Roman" w:hAnsi="Times New Roman"/>
          <w:b/>
          <w:bCs/>
          <w:sz w:val="20"/>
          <w:szCs w:val="20"/>
        </w:rPr>
        <w:t xml:space="preserve">Table 4: Spud date validation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60"/>
      </w:tblGrid>
      <w:tr>
        <w:trPr>
          <w:cantSplit/>
          <w:tblHeader/>
        </w:trPr>
        <w:tc>
          <w:tcPr>
            <w:tcW w:type="dxa" w:w="33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Outcome</w:t>
            </w:r>
          </w:p>
        </w:tc>
        <w:tc>
          <w:tcPr>
            <w:tcW w:type="dxa" w:w="12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Wellbores</w:t>
            </w:r>
          </w:p>
        </w:tc>
        <w:tc>
          <w:tcPr>
            <w:tcW w:type="dxa" w:w="486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Detail</w:t>
            </w:r>
          </w:p>
        </w:tc>
      </w:tr>
      <w:tr>
        <w:trPr>
          <w:cantSplit/>
          <w:tblHeader w:val="off"/>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Exact agreement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7</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r>
        <w:trPr>
          <w:cantSplit/>
          <w:tblHeader w:val="off"/>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Definitional offset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8</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Administrative spud precedes operational start by days to weeks</w:t>
            </w:r>
          </w:p>
        </w:tc>
      </w:tr>
      <w:tr>
        <w:trPr>
          <w:cantSplit/>
          <w:tblHeader w:val="off"/>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WITSML data-entry error</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15/9-F-4, F-7, F-12, F-15</w:t>
            </w:r>
          </w:p>
        </w:tc>
      </w:tr>
      <w:tr>
        <w:trPr>
          <w:cantSplit/>
          <w:tblHeader w:val="off"/>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Wellbore-identity conflation</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w:t>
            </w:r>
          </w:p>
        </w:tc>
      </w:tr>
      <w:tr>
        <w:trPr>
          <w:cantSplit/>
          <w:tblHeader w:val="off"/>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Inherited parent spud date</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15/9-F-11 A, F-11 T2</w:t>
            </w:r>
          </w:p>
        </w:tc>
      </w:tr>
      <w:tr>
        <w:trPr>
          <w:cantSplit/>
          <w:tblHeader w:val="off"/>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Unresolved</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15/9-19 series</w:t>
            </w:r>
          </w:p>
        </w:tc>
      </w:tr>
      <w:tr>
        <w:trPr>
          <w:cantSplit/>
          <w:tblHeader w:val="off"/>
        </w:trPr>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Total</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26</w:t>
            </w:r>
          </w:p>
        </w:tc>
        <w:tc>
          <w:tcPr>
            <w:tcW w:type="dxa" w:w="486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p>
        </w:tc>
      </w:tr>
    </w:tbl>
    <w:p>
      <w:pPr>
        <w:spacing w:after="60"/>
      </w:pPr>
    </w:p>
    <w:p>
      <w:pPr>
        <w:spacing w:after="120" w:line="264"/>
        <w:jc w:val="both"/>
      </w:pPr>
      <w:r>
        <w:rPr>
          <w:rFonts w:ascii="Times New Roman" w:cs="Times New Roman" w:eastAsia="Times New Roman" w:hAnsi="Times New Roman"/>
          <w:sz w:val="20"/>
          <w:szCs w:val="20"/>
        </w:rPr>
        <w:t xml:space="preserve">In the four error cases the structured spud_date contradicts the wellbore's own first DDR and free-text narrative by three months to a full year, while the first DDR, the narrative, and the NOD date agree with each other. 15/9-F-12 is the clearest example: three sources agree on 14 June 2007 and only the structured field (15 March 2007) disagrees. Two sidetracks, 15/9-F-11 A and 15/9-F-11 T2, carry a spud_date identical to their parent's, almost certainly an inherited field value rather than a spud event. 15/9-F-11 T2 is excluded from Fig. 4 because NOD does not register it separately.</w:t>
      </w:r>
    </w:p>
    <w:p>
      <w:pPr>
        <w:spacing w:after="120" w:line="264"/>
        <w:jc w:val="both"/>
      </w:pPr>
      <w:r>
        <w:rPr>
          <w:rFonts w:ascii="Times New Roman" w:cs="Times New Roman" w:eastAsia="Times New Roman" w:hAnsi="Times New Roman"/>
          <w:sz w:val="20"/>
          <w:szCs w:val="20"/>
        </w:rPr>
        <w:t xml:space="preserve">15/9-F-1 required particular care. Its WITSML spud_date (28 November 2007) is four days before its first DDR (2 December 2007), which narrates drilling 36 in. hole from the seabed, an ordinary spud-to-first-report gap. NOD, however, records an entry date of 23 July 2013, nearly six years later and about four weeks before the WITSML spud date (20 August 2013) and NOD entry date (23 August 2013) of 15/9-F-1 A, the sidetrack drilled from the same slot. NOD's 15/9-F-1 record most plausibly reflects the 2013 re-entry ahead of the sidetrack campaign, not the 2007 spud. The case is therefore classified as a wellbore-identity conflation: the WITSML value is consistent with the wellbore's own chronology.</w:t>
      </w:r>
    </w:p>
    <w:p>
      <w:pPr>
        <w:pStyle w:val="Heading2"/>
        <w:keepNext/>
        <w:spacing w:after="100" w:before="180"/>
      </w:pPr>
      <w:r>
        <w:rPr>
          <w:rFonts w:ascii="Times New Roman" w:cs="Times New Roman" w:eastAsia="Times New Roman" w:hAnsi="Times New Roman"/>
          <w:b/>
          <w:bCs/>
          <w:i/>
          <w:iCs/>
          <w:sz w:val="20"/>
          <w:szCs w:val="20"/>
        </w:rPr>
        <w:t xml:space="preserve">5.6 Sidetrack Kick-Off Depth Recovery</w:t>
      </w:r>
    </w:p>
    <w:p>
      <w:pPr>
        <w:spacing w:after="120" w:line="264"/>
        <w:jc w:val="both"/>
      </w:pPr>
      <w:r>
        <w:rPr>
          <w:rFonts w:ascii="Times New Roman" w:cs="Times New Roman" w:eastAsia="Times New Roman" w:hAnsi="Times New Roman"/>
          <w:sz w:val="20"/>
          <w:szCs w:val="20"/>
        </w:rPr>
        <w:t xml:space="preserve">Because the structured kick-off field is sparse, kick-off depth was recovered from the DDRs. Twelve sidetracks yielded an explicit kick-off depth in the narrative; for example, the 15/9-F-1 C report of 13 March 2014 reads "Drilled and oriented 8 1/2" from 3059 m". Two, 15/9-19 ST2 and 15/9-F-15 D, were recovered by a weaker depth-sequence method that infers kick-off from depth continuity at a parent-to-child transition on the same date, and carry lower confidence. </w:t>
      </w:r>
      <w:r>
        <w:rPr>
          <w:rFonts w:ascii="Times New Roman" w:cs="Times New Roman" w:eastAsia="Times New Roman" w:hAnsi="Times New Roman"/>
          <w:b/>
          <w:bCs/>
          <w:sz w:val="20"/>
          <w:szCs w:val="20"/>
          <w:highlight w:val="yellow"/>
        </w:rPr>
        <w:t xml:space="preserve">[TJ: the original text counted 15 sidetracks including 15/9-19 S, but 15/9-19 S is the parent exploration wellbore, not a sidetrack. By designation the sidetracks are 19 A, 19 B, 19 BT2, 19 ST2, F-1 A, F-1 B, F-1 C, F-9 A, F-11 A, F-11 B, F-11 T2 and F-15 A to D, which is 15, but only 14 outcomes (12 + 2) are reported. Identify the 15th sidetrack and its outcome from the numbers registry.]</w:t>
      </w:r>
    </w:p>
    <w:p>
      <w:pPr>
        <w:spacing w:after="120" w:line="264"/>
        <w:jc w:val="both"/>
      </w:pPr>
      <w:r>
        <w:rPr>
          <w:rFonts w:ascii="Times New Roman" w:cs="Times New Roman" w:eastAsia="Times New Roman" w:hAnsi="Times New Roman"/>
          <w:sz w:val="20"/>
          <w:szCs w:val="20"/>
        </w:rPr>
        <w:t xml:space="preserve">No kick-off depth exists for 15/9-19 S. Its earliest narratives describe a top-hole spud, consistent with NOD's record of it as an original exploration wellbore.</w:t>
      </w:r>
    </w:p>
    <w:p>
      <w:pPr>
        <w:spacing w:after="120" w:line="264"/>
        <w:jc w:val="both"/>
      </w:pPr>
      <w:r>
        <w:rPr>
          <w:rFonts w:ascii="Times New Roman" w:cs="Times New Roman" w:eastAsia="Times New Roman" w:hAnsi="Times New Roman"/>
          <w:sz w:val="20"/>
          <w:szCs w:val="20"/>
        </w:rPr>
        <w:t xml:space="preserve">NOD's wlbKickOffPoint field can differ from the operational kick-off reconstructed here. For 15/9-F-1 C, NOD records 1,364 m, while the depth at which the DDR sequence shows new hole beginning is 3,059 m. This paper uses the operational definition because the timeline is built from activity records. </w:t>
      </w:r>
      <w:r>
        <w:rPr>
          <w:rFonts w:ascii="Times New Roman" w:cs="Times New Roman" w:eastAsia="Times New Roman" w:hAnsi="Times New Roman"/>
          <w:b/>
          <w:bCs/>
          <w:sz w:val="20"/>
          <w:szCs w:val="20"/>
          <w:highlight w:val="yellow"/>
        </w:rPr>
        <w:t xml:space="preserve">[TJ: a 1,695 m difference is too large to dismiss as geometric versus operational. Before submission, check whether any 15/9-F-1 C DDR before 13 March 2014 shows drilling shallower than 3,059 m (query in the cover notes). If it does, the kick-off is about 1,364 m, the 3,059 m figure is a hole-section change, and the F-1/F-1 C shared interval in Limitations, and in your other papers, must be revised.]</w:t>
      </w:r>
    </w:p>
    <w:p>
      <w:pPr>
        <w:pStyle w:val="Heading1"/>
        <w:keepNext/>
        <w:spacing w:after="120" w:before="240"/>
      </w:pPr>
      <w:r>
        <w:rPr>
          <w:rFonts w:ascii="Times New Roman" w:cs="Times New Roman" w:eastAsia="Times New Roman" w:hAnsi="Times New Roman"/>
          <w:b/>
          <w:bCs/>
          <w:sz w:val="22"/>
          <w:szCs w:val="22"/>
        </w:rPr>
        <w:t xml:space="preserve">6 Discussion</w:t>
      </w:r>
    </w:p>
    <w:p>
      <w:pPr>
        <w:pStyle w:val="Heading2"/>
        <w:keepNext/>
        <w:spacing w:after="100" w:before="180"/>
      </w:pPr>
      <w:r>
        <w:rPr>
          <w:rFonts w:ascii="Times New Roman" w:cs="Times New Roman" w:eastAsia="Times New Roman" w:hAnsi="Times New Roman"/>
          <w:b/>
          <w:bCs/>
          <w:i/>
          <w:iCs/>
          <w:sz w:val="20"/>
          <w:szCs w:val="20"/>
        </w:rPr>
        <w:t xml:space="preserve">6.1 What the Dataset Supports</w:t>
      </w:r>
    </w:p>
    <w:p>
      <w:pPr>
        <w:spacing w:after="120" w:line="264"/>
        <w:jc w:val="both"/>
      </w:pPr>
      <w:r>
        <w:rPr>
          <w:rFonts w:ascii="Times New Roman" w:cs="Times New Roman" w:eastAsia="Times New Roman" w:hAnsi="Times New Roman"/>
          <w:sz w:val="20"/>
          <w:szCs w:val="20"/>
        </w:rPr>
        <w:t xml:space="preserve">The 1,421-row depth-time-phase dataset converts an archive of narrative reports into a form that can be queried directly. Days-versus-depth curves (Fig. 2) can be compared across wellbores drilled from the same platform, phase durations can be extracted for offset-well planning, and the classified phases locate casing, cementing, and P&amp;A operations in time and depth for each wellbore. Because the classifier is deterministic and the audit quantifies its residual, a user can bound how much of any phase-based statistic may be missing: at the attainable-rate estimate, roughly 199 DDRs of construction content remain unassigned, concentrated in drilling progress reported without a hole size.</w:t>
      </w:r>
    </w:p>
    <w:p>
      <w:pPr>
        <w:pStyle w:val="Heading2"/>
        <w:keepNext/>
        <w:spacing w:after="100" w:before="180"/>
      </w:pPr>
      <w:r>
        <w:rPr>
          <w:rFonts w:ascii="Times New Roman" w:cs="Times New Roman" w:eastAsia="Times New Roman" w:hAnsi="Times New Roman"/>
          <w:b/>
          <w:bCs/>
          <w:i/>
          <w:iCs/>
          <w:sz w:val="20"/>
          <w:szCs w:val="20"/>
        </w:rPr>
        <w:t xml:space="preserve">6.2 Data-Quality Lessons for WITSML Archive Users</w:t>
      </w:r>
    </w:p>
    <w:p>
      <w:pPr>
        <w:spacing w:after="120" w:line="264"/>
        <w:jc w:val="both"/>
      </w:pPr>
      <w:r>
        <w:rPr>
          <w:rFonts w:ascii="Times New Roman" w:cs="Times New Roman" w:eastAsia="Times New Roman" w:hAnsi="Times New Roman"/>
          <w:sz w:val="20"/>
          <w:szCs w:val="20"/>
        </w:rPr>
        <w:t xml:space="preserve">Several characteristics of this archive would mislead an analysis that trusted structured fields at face value, and each is likely to recur in other WITSML archives:</w:t>
      </w:r>
    </w:p>
    <w:p>
      <w:pPr>
        <w:pStyle w:val="ListParagraph"/>
        <w:numPr>
          <w:ilvl w:val="0"/>
          <w:numId w:val="2"/>
        </w:numPr>
        <w:spacing w:after="80"/>
      </w:pPr>
      <w:r>
        <w:rPr>
          <w:rFonts w:ascii="Times New Roman" w:cs="Times New Roman" w:eastAsia="Times New Roman" w:hAnsi="Times New Roman"/>
          <w:sz w:val="20"/>
          <w:szCs w:val="20"/>
        </w:rPr>
        <w:t xml:space="preserve">Placeholder values that pass null tests: the depth sentinel '-999.99', the zero string '0', and the narrative string "None" together affect 411 field values (331 + 7 + 73).</w:t>
      </w:r>
    </w:p>
    <w:p>
      <w:pPr>
        <w:pStyle w:val="ListParagraph"/>
        <w:numPr>
          <w:ilvl w:val="0"/>
          <w:numId w:val="2"/>
        </w:numPr>
        <w:spacing w:after="80"/>
      </w:pPr>
      <w:r>
        <w:rPr>
          <w:rFonts w:ascii="Times New Roman" w:cs="Times New Roman" w:eastAsia="Times New Roman" w:hAnsi="Times New Roman"/>
          <w:sz w:val="20"/>
          <w:szCs w:val="20"/>
        </w:rPr>
        <w:t xml:space="preserve">A date sentinel (1 January 1980) that, if treated as a genuine first report, shifts a wellbore's entire drilling campaign into the wrong era of any time-based analysis.</w:t>
      </w:r>
    </w:p>
    <w:p>
      <w:pPr>
        <w:pStyle w:val="ListParagraph"/>
        <w:numPr>
          <w:ilvl w:val="0"/>
          <w:numId w:val="2"/>
        </w:numPr>
        <w:spacing w:after="80"/>
      </w:pPr>
      <w:r>
        <w:rPr>
          <w:rFonts w:ascii="Times New Roman" w:cs="Times New Roman" w:eastAsia="Times New Roman" w:hAnsi="Times New Roman"/>
          <w:sz w:val="20"/>
          <w:szCs w:val="20"/>
        </w:rPr>
        <w:t xml:space="preserve">Structured spud dates that contradict the wellbore's own first report (four wellbores) or are inherited from the parent (two sidetracks).</w:t>
      </w:r>
    </w:p>
    <w:p>
      <w:pPr>
        <w:pStyle w:val="ListParagraph"/>
        <w:numPr>
          <w:ilvl w:val="0"/>
          <w:numId w:val="2"/>
        </w:numPr>
        <w:spacing w:after="80"/>
      </w:pPr>
      <w:r>
        <w:rPr>
          <w:rFonts w:ascii="Times New Roman" w:cs="Times New Roman" w:eastAsia="Times New Roman" w:hAnsi="Times New Roman"/>
          <w:sz w:val="20"/>
          <w:szCs w:val="20"/>
        </w:rPr>
        <w:t xml:space="preserve">A structured kick-off field populated in only 14.10% of rows, so sidetrack geometry must be recovered from narrative.</w:t>
      </w:r>
    </w:p>
    <w:p>
      <w:pPr>
        <w:pStyle w:val="ListParagraph"/>
        <w:numPr>
          <w:ilvl w:val="0"/>
          <w:numId w:val="2"/>
        </w:numPr>
        <w:spacing w:after="80"/>
      </w:pPr>
      <w:r>
        <w:rPr>
          <w:rFonts w:ascii="Times New Roman" w:cs="Times New Roman" w:eastAsia="Times New Roman" w:hAnsi="Times New Roman"/>
          <w:sz w:val="20"/>
          <w:szCs w:val="20"/>
        </w:rPr>
        <w:t xml:space="preserve">Technical-sidetrack designations that have no counterpart in the national register, so a join on wellbore name silently drops valid records.</w:t>
      </w:r>
    </w:p>
    <w:p>
      <w:pPr>
        <w:spacing w:after="120" w:line="264"/>
        <w:jc w:val="both"/>
      </w:pPr>
      <w:r>
        <w:rPr>
          <w:rFonts w:ascii="Times New Roman" w:cs="Times New Roman" w:eastAsia="Times New Roman" w:hAnsi="Times New Roman"/>
          <w:sz w:val="20"/>
          <w:szCs w:val="20"/>
        </w:rPr>
        <w:t xml:space="preserve">None of these is an error that invalidates the archive. Each requires an explicit rule, and the rules used here are published with the code.</w:t>
      </w:r>
    </w:p>
    <w:p>
      <w:pPr>
        <w:pStyle w:val="Heading2"/>
        <w:keepNext/>
        <w:spacing w:after="100" w:before="180"/>
      </w:pPr>
      <w:r>
        <w:rPr>
          <w:rFonts w:ascii="Times New Roman" w:cs="Times New Roman" w:eastAsia="Times New Roman" w:hAnsi="Times New Roman"/>
          <w:b/>
          <w:bCs/>
          <w:i/>
          <w:iCs/>
          <w:sz w:val="20"/>
          <w:szCs w:val="20"/>
        </w:rPr>
        <w:t xml:space="preserve">6.3 Relevance to Records-Based Screening of Legacy Wellbores</w:t>
      </w:r>
    </w:p>
    <w:p>
      <w:pPr>
        <w:spacing w:after="120" w:line="264"/>
        <w:jc w:val="both"/>
      </w:pPr>
      <w:r>
        <w:rPr>
          <w:rFonts w:ascii="Times New Roman" w:cs="Times New Roman" w:eastAsia="Times New Roman" w:hAnsi="Times New Roman"/>
          <w:sz w:val="20"/>
          <w:szCs w:val="20"/>
        </w:rPr>
        <w:t xml:space="preserve">Assessments of depleted fields for CO2 storage, and decommissioning reviews generally, rely on an inventory of existing wellbores and on evidence of how each was constructed and abandoned. The reconstruction shows three ways in which a national register alone gives an incomplete inventory. First, abandoned parent legs below technical sidetracks (15/9-19 B to 3,272 m and 15/9-F-11 to 347 m) exist physically but are not separate register entries. Second, wellbores that share a physical interval, such as 15/9-F-1 and 15/9-F-1 C, are not independent penetrations above their kick-off depth. Third, the archive can simply stop: 15/9-19 S has no reports covering its final 227 m. A screening assessment should record a gap of this kind as an evidence gap rather than infer the missing history. The phase-classified timeline gives the starting point for locating the casing, cementing, and plugging records that such an assessment needs.</w:t>
      </w:r>
    </w:p>
    <w:p>
      <w:pPr>
        <w:pStyle w:val="Heading2"/>
        <w:keepNext/>
        <w:spacing w:after="100" w:before="180"/>
      </w:pPr>
      <w:r>
        <w:rPr>
          <w:rFonts w:ascii="Times New Roman" w:cs="Times New Roman" w:eastAsia="Times New Roman" w:hAnsi="Times New Roman"/>
          <w:b/>
          <w:bCs/>
          <w:i/>
          <w:iCs/>
          <w:sz w:val="20"/>
          <w:szCs w:val="20"/>
        </w:rPr>
        <w:t xml:space="preserve">6.4 Transferability</w:t>
      </w:r>
    </w:p>
    <w:p>
      <w:pPr>
        <w:spacing w:after="120" w:line="264"/>
        <w:jc w:val="both"/>
      </w:pPr>
      <w:r>
        <w:rPr>
          <w:rFonts w:ascii="Times New Roman" w:cs="Times New Roman" w:eastAsia="Times New Roman" w:hAnsi="Times New Roman"/>
          <w:sz w:val="20"/>
          <w:szCs w:val="20"/>
        </w:rPr>
        <w:t xml:space="preserve">The audit protocol, the placeholder checks, and the wellbore-matching logic transfer directly to any WITSML 1.4.1.1 archive. The pattern set is tuned to the English-language narratives and abbreviations of one operator over one field's life, so applying it elsewhere will require a pattern review, and the audit should be repeated to measure the new residual rather than assuming the Volve figure carries over.</w:t>
      </w:r>
    </w:p>
    <w:p>
      <w:pPr>
        <w:pStyle w:val="Heading1"/>
        <w:keepNext/>
        <w:spacing w:after="120" w:before="240"/>
      </w:pPr>
      <w:r>
        <w:rPr>
          <w:rFonts w:ascii="Times New Roman" w:cs="Times New Roman" w:eastAsia="Times New Roman" w:hAnsi="Times New Roman"/>
          <w:b/>
          <w:bCs/>
          <w:sz w:val="22"/>
          <w:szCs w:val="22"/>
        </w:rPr>
        <w:t xml:space="preserve">7 Limitations</w:t>
      </w:r>
    </w:p>
    <w:p>
      <w:pPr>
        <w:spacing w:after="120" w:line="264"/>
        <w:jc w:val="both"/>
      </w:pPr>
      <w:r>
        <w:rPr>
          <w:rFonts w:ascii="Times New Roman" w:cs="Times New Roman" w:eastAsia="Times New Roman" w:hAnsi="Times New Roman"/>
          <w:sz w:val="20"/>
          <w:szCs w:val="20"/>
        </w:rPr>
        <w:t xml:space="preserve">The classifier assigns a single primary phase to each DDR. A DDR narrating both drilling progress and cementing is assigned to the higher-priority drilling phase, so the Cementing count underrepresents days on which cementing occurred alongside another operation.</w:t>
      </w:r>
    </w:p>
    <w:p>
      <w:pPr>
        <w:spacing w:after="120" w:line="264"/>
        <w:jc w:val="both"/>
      </w:pPr>
      <w:r>
        <w:rPr>
          <w:rFonts w:ascii="Times New Roman" w:cs="Times New Roman" w:eastAsia="Times New Roman" w:hAnsi="Times New Roman"/>
          <w:sz w:val="20"/>
          <w:szCs w:val="20"/>
        </w:rPr>
        <w:t xml:space="preserve">The audit adjudicated construction content only. Unclassified records describing operations that belong to non-construction phases in the classifier (for example waiting or rig moves) were adjudicated NON_CONSTRUCTION, so the attainable rate is conservative with respect to those phases. The sample of 50 was adjudicated by a single reviewer, and no inter-rater agreement was measured. The interval of 82.5 to 88.3% reflects the modest sample size.</w:t>
      </w:r>
    </w:p>
    <w:p>
      <w:pPr>
        <w:spacing w:after="120" w:line="264"/>
        <w:jc w:val="both"/>
      </w:pPr>
      <w:r>
        <w:rPr>
          <w:rFonts w:ascii="Times New Roman" w:cs="Times New Roman" w:eastAsia="Times New Roman" w:hAnsi="Times New Roman"/>
          <w:sz w:val="20"/>
          <w:szCs w:val="20"/>
        </w:rPr>
        <w:t xml:space="preserve">Two records were assigned to a stratum that does not reflect their operational context, although both were adjudicated correctly on content. The 1980 date sentinel for 15/9-19 A places that wellbore's 1997 drilling in the production-era stratum, and 15/9-F-1's 2013 re-entry reports ahead of the F-1 A sidetrack also fall into the production-era stratum.</w:t>
      </w:r>
    </w:p>
    <w:p>
      <w:pPr>
        <w:spacing w:after="120" w:line="264"/>
        <w:jc w:val="both"/>
      </w:pPr>
      <w:r>
        <w:rPr>
          <w:rFonts w:ascii="Times New Roman" w:cs="Times New Roman" w:eastAsia="Times New Roman" w:hAnsi="Times New Roman"/>
          <w:sz w:val="20"/>
          <w:szCs w:val="20"/>
        </w:rPr>
        <w:t xml:space="preserve">The timeline includes only DDRs with a genuine measured depth, and no interpolation is performed. Discontinuities where a run of DDRs carries a placeholder value are missing data, not periods without drilling.</w:t>
      </w:r>
    </w:p>
    <w:p>
      <w:pPr>
        <w:spacing w:after="120" w:line="264"/>
        <w:jc w:val="both"/>
      </w:pPr>
      <w:r>
        <w:rPr>
          <w:rFonts w:ascii="Times New Roman" w:cs="Times New Roman" w:eastAsia="Times New Roman" w:hAnsi="Times New Roman"/>
          <w:sz w:val="20"/>
          <w:szCs w:val="20"/>
        </w:rPr>
        <w:t xml:space="preserve">Two kick-off depths (15/9-19 ST2 and 15/9-F-15 D) rest on the weaker depth-sequence method. 15/9-F-1 and 15/9-F-1 C share the physical interval above the F-1 C kick-off depth, and any formation-level analysis treating them as independent must account for this.</w:t>
      </w:r>
    </w:p>
    <w:p>
      <w:pPr>
        <w:spacing w:after="120" w:line="264"/>
        <w:jc w:val="both"/>
      </w:pPr>
      <w:r>
        <w:rPr>
          <w:rFonts w:ascii="Times New Roman" w:cs="Times New Roman" w:eastAsia="Times New Roman" w:hAnsi="Times New Roman"/>
          <w:sz w:val="20"/>
          <w:szCs w:val="20"/>
        </w:rPr>
        <w:t xml:space="preserve">No isolated ablation was run for the effect of Unicode normalisation on the classification rate. The survey confirms 61 DDRs contain ½ and 10 contain ¼, and the normalisation handles both, but its effect was not separated from other pattern changes between versions.</w:t>
      </w:r>
    </w:p>
    <w:p>
      <w:pPr>
        <w:spacing w:after="120" w:line="264"/>
        <w:jc w:val="both"/>
      </w:pPr>
      <w:r>
        <w:rPr>
          <w:rFonts w:ascii="Times New Roman" w:cs="Times New Roman" w:eastAsia="Times New Roman" w:hAnsi="Times New Roman"/>
          <w:sz w:val="20"/>
          <w:szCs w:val="20"/>
        </w:rPr>
        <w:t xml:space="preserve">The analysis uses the extracted table rather than the raw XML, so any extraction error upstream of that table would propagate. The near-exact agreement with NOD on total depth (22 of 24) indicates the depth fields were extracted faithfully.</w:t>
      </w:r>
    </w:p>
    <w:p>
      <w:pPr>
        <w:pStyle w:val="Heading1"/>
        <w:keepNext/>
        <w:spacing w:after="120" w:before="240"/>
      </w:pPr>
      <w:r>
        <w:rPr>
          <w:rFonts w:ascii="Times New Roman" w:cs="Times New Roman" w:eastAsia="Times New Roman" w:hAnsi="Times New Roman"/>
          <w:b/>
          <w:bCs/>
          <w:sz w:val="22"/>
          <w:szCs w:val="22"/>
        </w:rPr>
        <w:t xml:space="preserve">8 Conclusions</w:t>
      </w:r>
    </w:p>
    <w:p>
      <w:pPr>
        <w:pStyle w:val="ListParagraph"/>
        <w:numPr>
          <w:ilvl w:val="0"/>
          <w:numId w:val="3"/>
        </w:numPr>
        <w:spacing w:after="80"/>
      </w:pPr>
      <w:r>
        <w:rPr>
          <w:rFonts w:ascii="Times New Roman" w:cs="Times New Roman" w:eastAsia="Times New Roman" w:hAnsi="Times New Roman"/>
          <w:sz w:val="20"/>
          <w:szCs w:val="20"/>
        </w:rPr>
        <w:t xml:space="preserve">A deterministic, 13-phase rule-based classifier assigns 1,303 of 1,759 Volve WITSML DDRs (74.1%) to a construction phase, with every decision traceable to a published pattern.</w:t>
      </w:r>
    </w:p>
    <w:p>
      <w:pPr>
        <w:pStyle w:val="ListParagraph"/>
        <w:numPr>
          <w:ilvl w:val="0"/>
          <w:numId w:val="3"/>
        </w:numPr>
        <w:spacing w:after="80"/>
      </w:pPr>
      <w:r>
        <w:rPr>
          <w:rFonts w:ascii="Times New Roman" w:cs="Times New Roman" w:eastAsia="Times New Roman" w:hAnsi="Times New Roman"/>
          <w:sz w:val="20"/>
          <w:szCs w:val="20"/>
        </w:rPr>
        <w:t xml:space="preserve">A stratified audit found that 52% of sampled unclassified narratives describe construction operations, giving an estimated attainable classification rate of 85.4% (95% CI 82.5 to 88.3%). The main gaps are drilling progress reported without a hole size, non-standard abbreviations, and fishing and fracturing operations.</w:t>
      </w:r>
    </w:p>
    <w:p>
      <w:pPr>
        <w:pStyle w:val="ListParagraph"/>
        <w:numPr>
          <w:ilvl w:val="0"/>
          <w:numId w:val="3"/>
        </w:numPr>
        <w:spacing w:after="80"/>
      </w:pPr>
      <w:r>
        <w:rPr>
          <w:rFonts w:ascii="Times New Roman" w:cs="Times New Roman" w:eastAsia="Times New Roman" w:hAnsi="Times New Roman"/>
          <w:sz w:val="20"/>
          <w:szCs w:val="20"/>
        </w:rPr>
        <w:t xml:space="preserve">Reconstructed total depth agrees exactly with the NOD register for 22 of 24 matched wellbores. The two differences are explained: 15 m on 15/9-F-15, and a records-coverage gap of 227 m on 15/9-19 S.</w:t>
      </w:r>
    </w:p>
    <w:p>
      <w:pPr>
        <w:pStyle w:val="ListParagraph"/>
        <w:numPr>
          <w:ilvl w:val="0"/>
          <w:numId w:val="3"/>
        </w:numPr>
        <w:spacing w:after="80"/>
      </w:pPr>
      <w:r>
        <w:rPr>
          <w:rFonts w:ascii="Times New Roman" w:cs="Times New Roman" w:eastAsia="Times New Roman" w:hAnsi="Times New Roman"/>
          <w:sz w:val="20"/>
          <w:szCs w:val="20"/>
        </w:rPr>
        <w:t xml:space="preserve">Every naming mismatch between the WITSML archive and the national register follows the Norwegian technical-sidetrack convention. Parent legs abandoned below technical sidetracks exist physically but are not separate register entries.</w:t>
      </w:r>
    </w:p>
    <w:p>
      <w:pPr>
        <w:pStyle w:val="ListParagraph"/>
        <w:numPr>
          <w:ilvl w:val="0"/>
          <w:numId w:val="3"/>
        </w:numPr>
        <w:spacing w:after="80"/>
      </w:pPr>
      <w:r>
        <w:rPr>
          <w:rFonts w:ascii="Times New Roman" w:cs="Times New Roman" w:eastAsia="Times New Roman" w:hAnsi="Times New Roman"/>
          <w:sz w:val="20"/>
          <w:szCs w:val="20"/>
        </w:rPr>
        <w:t xml:space="preserve">The structured spud date should not be used without checking it against the first DDR: four wellbores carry data-entry errors, two sidetracks carry inherited values, and one apparent error is a wellbore-identity conflation in the register.</w:t>
      </w:r>
    </w:p>
    <w:p>
      <w:pPr>
        <w:pStyle w:val="ListParagraph"/>
        <w:numPr>
          <w:ilvl w:val="0"/>
          <w:numId w:val="3"/>
        </w:numPr>
        <w:spacing w:after="80"/>
      </w:pPr>
      <w:r>
        <w:rPr>
          <w:rFonts w:ascii="Times New Roman" w:cs="Times New Roman" w:eastAsia="Times New Roman" w:hAnsi="Times New Roman"/>
          <w:sz w:val="20"/>
          <w:szCs w:val="20"/>
        </w:rPr>
        <w:t xml:space="preserve">Placeholder values that pass a null test affect 411 field values in the archive and must be removed explicitly before analysis.</w:t>
      </w:r>
    </w:p>
    <w:p>
      <w:pPr>
        <w:pStyle w:val="ListParagraph"/>
        <w:numPr>
          <w:ilvl w:val="0"/>
          <w:numId w:val="3"/>
        </w:numPr>
        <w:spacing w:after="80"/>
      </w:pPr>
      <w:r>
        <w:rPr>
          <w:rFonts w:ascii="Times New Roman" w:cs="Times New Roman" w:eastAsia="Times New Roman" w:hAnsi="Times New Roman"/>
          <w:sz w:val="20"/>
          <w:szCs w:val="20"/>
        </w:rPr>
        <w:t xml:space="preserve">The resulting 1,421-row depth-time-phase dataset and the classifier are published openly.</w:t>
      </w:r>
    </w:p>
    <w:p>
      <w:pPr>
        <w:spacing w:after="120" w:line="264"/>
        <w:jc w:val="both"/>
      </w:pPr>
      <w:r>
        <w:rPr>
          <w:rFonts w:ascii="Times New Roman" w:cs="Times New Roman" w:eastAsia="Times New Roman" w:hAnsi="Times New Roman"/>
          <w:sz w:val="20"/>
          <w:szCs w:val="20"/>
        </w:rPr>
        <w:t xml:space="preserve">Future work should enlarge the audit sample with a second independent adjudicator, close the identified pattern gaps, validate the reconstructed timelines against the Final Well Reports and End of Well Reports held in the Volve archive, and use the dataset for phase-duration benchmarking across the campaign.</w:t>
      </w:r>
    </w:p>
    <w:p>
      <w:pPr>
        <w:pStyle w:val="Heading1"/>
        <w:keepNext/>
        <w:spacing w:after="120" w:before="240"/>
      </w:pPr>
      <w:r>
        <w:rPr>
          <w:rFonts w:ascii="Times New Roman" w:cs="Times New Roman" w:eastAsia="Times New Roman" w:hAnsi="Times New Roman"/>
          <w:b/>
          <w:bCs/>
          <w:sz w:val="22"/>
          <w:szCs w:val="22"/>
        </w:rPr>
        <w:t xml:space="preserve">Acknowledgements</w:t>
      </w:r>
    </w:p>
    <w:p>
      <w:pPr>
        <w:spacing w:after="120" w:line="264"/>
        <w:jc w:val="both"/>
      </w:pPr>
      <w:r>
        <w:rPr>
          <w:rFonts w:ascii="Times New Roman" w:cs="Times New Roman" w:eastAsia="Times New Roman" w:hAnsi="Times New Roman"/>
          <w:sz w:val="20"/>
          <w:szCs w:val="20"/>
        </w:rPr>
        <w:t xml:space="preserve">The author thanks Equinor ASA and the Volve licence partners for releasing the Volve dataset as an open resource, and the Norwegian Offshore Directorate for the FactPages database. This work was conducted independently of the author's employer, which had no role in it.</w:t>
      </w:r>
    </w:p>
    <w:p>
      <w:pPr>
        <w:spacing w:after="120" w:line="264"/>
        <w:jc w:val="both"/>
      </w:pPr>
      <w:r>
        <w:rPr>
          <w:rFonts w:ascii="Times New Roman" w:cs="Times New Roman" w:eastAsia="Times New Roman" w:hAnsi="Times New Roman"/>
          <w:sz w:val="20"/>
          <w:szCs w:val="20"/>
        </w:rPr>
        <w:t xml:space="preserve">Generative AI tools (Anthropic Claude) were used to assist with writing and debugging analysis code and queries, checking arithmetic, and editing the manuscript text. The author reviewed all AI-assisted content, reproduced every reported figure against the source tables, and takes full responsibility for the paper. </w:t>
      </w:r>
      <w:r>
        <w:rPr>
          <w:rFonts w:ascii="Times New Roman" w:cs="Times New Roman" w:eastAsia="Times New Roman" w:hAnsi="Times New Roman"/>
          <w:b/>
          <w:bCs/>
          <w:sz w:val="20"/>
          <w:szCs w:val="20"/>
          <w:highlight w:val="yellow"/>
        </w:rPr>
        <w:t xml:space="preserve">[TJ: amend if AI was used for any audit adjudication or figure generation.]</w:t>
      </w:r>
    </w:p>
    <w:p>
      <w:pPr>
        <w:pStyle w:val="Heading1"/>
        <w:keepNext/>
        <w:spacing w:after="120" w:before="240"/>
      </w:pPr>
      <w:r>
        <w:rPr>
          <w:rFonts w:ascii="Times New Roman" w:cs="Times New Roman" w:eastAsia="Times New Roman" w:hAnsi="Times New Roman"/>
          <w:b/>
          <w:bCs/>
          <w:sz w:val="22"/>
          <w:szCs w:val="22"/>
        </w:rPr>
        <w:t xml:space="preserve">Code and Data Availability</w:t>
      </w:r>
    </w:p>
    <w:p>
      <w:pPr>
        <w:spacing w:after="120" w:line="264"/>
        <w:jc w:val="both"/>
      </w:pPr>
      <w:r>
        <w:rPr>
          <w:rFonts w:ascii="Times New Roman" w:cs="Times New Roman" w:eastAsia="Times New Roman" w:hAnsi="Times New Roman"/>
          <w:sz w:val="20"/>
          <w:szCs w:val="20"/>
        </w:rPr>
        <w:t xml:space="preserve">The classifier (v3), the extracted DDR table, the 1,421-row timeline dataset, the 50-record audit sample with adjudications, the NOD comparison tables, and a numbers registry tracing every reported figure to its query are available at https://github.com/985185/volve-well-construction-timeline. </w:t>
      </w:r>
      <w:r>
        <w:rPr>
          <w:rFonts w:ascii="Times New Roman" w:cs="Times New Roman" w:eastAsia="Times New Roman" w:hAnsi="Times New Roman"/>
          <w:b/>
          <w:bCs/>
          <w:sz w:val="20"/>
          <w:szCs w:val="20"/>
          <w:highlight w:val="yellow"/>
        </w:rPr>
        <w:t xml:space="preserve">[TJ: confirm every item listed is in the public repository before you upload the manuscript, and that redistributing DDR narrative text is permitted by the Volve licence.]</w:t>
      </w:r>
    </w:p>
    <w:p>
      <w:pPr>
        <w:pStyle w:val="Heading1"/>
        <w:keepNext/>
        <w:spacing w:after="120" w:before="240"/>
      </w:pPr>
      <w:r>
        <w:rPr>
          <w:rFonts w:ascii="Times New Roman" w:cs="Times New Roman" w:eastAsia="Times New Roman" w:hAnsi="Times New Roman"/>
          <w:b/>
          <w:bCs/>
          <w:sz w:val="22"/>
          <w:szCs w:val="22"/>
        </w:rPr>
        <w:t xml:space="preserve">Abbreviations</w:t>
      </w:r>
    </w:p>
    <w:p>
      <w:pPr>
        <w:spacing w:after="40"/>
      </w:pPr>
      <w:r>
        <w:rPr>
          <w:rFonts w:ascii="Times New Roman" w:cs="Times New Roman" w:eastAsia="Times New Roman" w:hAnsi="Times New Roman"/>
          <w:sz w:val="20"/>
          <w:szCs w:val="20"/>
        </w:rPr>
        <w:t xml:space="preserve">BOP  =  blowout preventer</w:t>
      </w:r>
    </w:p>
    <w:p>
      <w:pPr>
        <w:spacing w:after="40"/>
      </w:pPr>
      <w:r>
        <w:rPr>
          <w:rFonts w:ascii="Times New Roman" w:cs="Times New Roman" w:eastAsia="Times New Roman" w:hAnsi="Times New Roman"/>
          <w:sz w:val="20"/>
          <w:szCs w:val="20"/>
        </w:rPr>
        <w:t xml:space="preserve">CI  =  confidence interval</w:t>
      </w:r>
    </w:p>
    <w:p>
      <w:pPr>
        <w:spacing w:after="40"/>
      </w:pPr>
      <w:r>
        <w:rPr>
          <w:rFonts w:ascii="Times New Roman" w:cs="Times New Roman" w:eastAsia="Times New Roman" w:hAnsi="Times New Roman"/>
          <w:sz w:val="20"/>
          <w:szCs w:val="20"/>
        </w:rPr>
        <w:t xml:space="preserve">DDR  =  Daily Drilling Report</w:t>
      </w:r>
    </w:p>
    <w:p>
      <w:pPr>
        <w:spacing w:after="40"/>
      </w:pPr>
      <w:r>
        <w:rPr>
          <w:rFonts w:ascii="Times New Roman" w:cs="Times New Roman" w:eastAsia="Times New Roman" w:hAnsi="Times New Roman"/>
          <w:sz w:val="20"/>
          <w:szCs w:val="20"/>
        </w:rPr>
        <w:t xml:space="preserve">MD  =  measured depth</w:t>
      </w:r>
    </w:p>
    <w:p>
      <w:pPr>
        <w:spacing w:after="40"/>
      </w:pPr>
      <w:r>
        <w:rPr>
          <w:rFonts w:ascii="Times New Roman" w:cs="Times New Roman" w:eastAsia="Times New Roman" w:hAnsi="Times New Roman"/>
          <w:sz w:val="20"/>
          <w:szCs w:val="20"/>
        </w:rPr>
        <w:t xml:space="preserve">NOD  =  Norwegian Offshore Directorate (formerly Norwegian Petroleum Directorate)</w:t>
      </w:r>
    </w:p>
    <w:p>
      <w:pPr>
        <w:spacing w:after="40"/>
      </w:pPr>
      <w:r>
        <w:rPr>
          <w:rFonts w:ascii="Times New Roman" w:cs="Times New Roman" w:eastAsia="Times New Roman" w:hAnsi="Times New Roman"/>
          <w:sz w:val="20"/>
          <w:szCs w:val="20"/>
        </w:rPr>
        <w:t xml:space="preserve">P&amp;A  =  plug and abandonment</w:t>
      </w:r>
    </w:p>
    <w:p>
      <w:pPr>
        <w:spacing w:after="40"/>
      </w:pPr>
      <w:r>
        <w:rPr>
          <w:rFonts w:ascii="Times New Roman" w:cs="Times New Roman" w:eastAsia="Times New Roman" w:hAnsi="Times New Roman"/>
          <w:sz w:val="20"/>
          <w:szCs w:val="20"/>
        </w:rPr>
        <w:t xml:space="preserve">RKB  =  rotary kelly bushing</w:t>
      </w:r>
    </w:p>
    <w:p>
      <w:pPr>
        <w:spacing w:after="40"/>
      </w:pPr>
      <w:r>
        <w:rPr>
          <w:rFonts w:ascii="Times New Roman" w:cs="Times New Roman" w:eastAsia="Times New Roman" w:hAnsi="Times New Roman"/>
          <w:sz w:val="20"/>
          <w:szCs w:val="20"/>
        </w:rPr>
        <w:t xml:space="preserve">TD  =  total depth</w:t>
      </w:r>
    </w:p>
    <w:p>
      <w:pPr>
        <w:spacing w:after="40"/>
      </w:pPr>
      <w:r>
        <w:rPr>
          <w:rFonts w:ascii="Times New Roman" w:cs="Times New Roman" w:eastAsia="Times New Roman" w:hAnsi="Times New Roman"/>
          <w:sz w:val="20"/>
          <w:szCs w:val="20"/>
        </w:rPr>
        <w:t xml:space="preserve">TVD  =  true vertical depth</w:t>
      </w:r>
    </w:p>
    <w:p>
      <w:pPr>
        <w:spacing w:after="40"/>
      </w:pPr>
      <w:r>
        <w:rPr>
          <w:rFonts w:ascii="Times New Roman" w:cs="Times New Roman" w:eastAsia="Times New Roman" w:hAnsi="Times New Roman"/>
          <w:sz w:val="20"/>
          <w:szCs w:val="20"/>
        </w:rPr>
        <w:t xml:space="preserve">WITSML  =  Wellsite Information Transfer Standard Markup Language</w:t>
      </w:r>
    </w:p>
    <w:p>
      <w:pPr>
        <w:pStyle w:val="Heading1"/>
        <w:keepNext/>
        <w:spacing w:after="120" w:before="240"/>
      </w:pPr>
      <w:r>
        <w:rPr>
          <w:rFonts w:ascii="Times New Roman" w:cs="Times New Roman" w:eastAsia="Times New Roman" w:hAnsi="Times New Roman"/>
          <w:b/>
          <w:bCs/>
          <w:sz w:val="22"/>
          <w:szCs w:val="22"/>
        </w:rPr>
        <w:t xml:space="preserve">References</w:t>
      </w:r>
    </w:p>
    <w:p>
      <w:pPr>
        <w:spacing w:after="100"/>
        <w:ind w:left="360" w:hanging="360"/>
      </w:pPr>
      <w:r>
        <w:rPr>
          <w:rFonts w:ascii="Times New Roman" w:cs="Times New Roman" w:eastAsia="Times New Roman" w:hAnsi="Times New Roman"/>
          <w:sz w:val="20"/>
          <w:szCs w:val="20"/>
        </w:rPr>
        <w:t xml:space="preserve">Energistics. 2012. </w:t>
      </w:r>
      <w:r>
        <w:rPr>
          <w:rFonts w:ascii="Times New Roman" w:cs="Times New Roman" w:eastAsia="Times New Roman" w:hAnsi="Times New Roman"/>
          <w:i/>
          <w:iCs/>
          <w:sz w:val="20"/>
          <w:szCs w:val="20"/>
        </w:rPr>
        <w:t xml:space="preserve">Wellsite Information Transfer Standard Markup Language (WITSML), Version 1.4.1.1.</w:t>
      </w:r>
      <w:r>
        <w:rPr>
          <w:rFonts w:ascii="Times New Roman" w:cs="Times New Roman" w:eastAsia="Times New Roman" w:hAnsi="Times New Roman"/>
          <w:sz w:val="20"/>
          <w:szCs w:val="20"/>
        </w:rPr>
        <w:t xml:space="preserve"> Houston, Texas: Energistics. https://www.energistics.org/witsml-data-standards/.</w:t>
      </w:r>
    </w:p>
    <w:p>
      <w:pPr>
        <w:spacing w:after="100"/>
        <w:ind w:left="360" w:hanging="360"/>
      </w:pPr>
      <w:r>
        <w:rPr>
          <w:rFonts w:ascii="Times New Roman" w:cs="Times New Roman" w:eastAsia="Times New Roman" w:hAnsi="Times New Roman"/>
          <w:sz w:val="20"/>
          <w:szCs w:val="20"/>
        </w:rPr>
        <w:t xml:space="preserve">Equinor. 2018. Volve Field Data Set. Released under the Equinor Open Data Licence. https://www.equinor.com/energy/volve-data-sharing.</w:t>
      </w:r>
    </w:p>
    <w:p>
      <w:pPr>
        <w:spacing w:after="100"/>
        <w:ind w:left="360" w:hanging="360"/>
      </w:pPr>
      <w:r>
        <w:rPr>
          <w:rFonts w:ascii="Times New Roman" w:cs="Times New Roman" w:eastAsia="Times New Roman" w:hAnsi="Times New Roman"/>
          <w:sz w:val="20"/>
          <w:szCs w:val="20"/>
        </w:rPr>
        <w:t xml:space="preserve">Hoffimann, J., Mao, Y., Wesley, A., and Taylor, A. 2017. Sequence Mining and Pattern Analysis in Drilling Reports with Deep Natural Language Processing. arXiv:1712.01476. https://doi.org/10.48550/arXiv.1712.01476.</w:t>
      </w:r>
    </w:p>
    <w:p>
      <w:pPr>
        <w:spacing w:after="100"/>
        <w:ind w:left="360" w:hanging="360"/>
      </w:pPr>
      <w:r>
        <w:rPr>
          <w:rFonts w:ascii="Times New Roman" w:cs="Times New Roman" w:eastAsia="Times New Roman" w:hAnsi="Times New Roman"/>
          <w:sz w:val="20"/>
          <w:szCs w:val="20"/>
        </w:rPr>
        <w:t xml:space="preserve">Karnot, M.H., Abdulkhaleq, H.B., Al-Mudhafar, W.J., Alibraheem, A., Alsubaih, A., and Alshawi, U. 2025. Deep Natural Language Processing for Automatic Root Cause Analysis of Non Productive Time Events in Drilling Reports. Presented at the SPE Annual Technical Conference and Exhibition, Houston, Texas, USA, 20–22 October. SPE-228268-MS. https://doi.org/10.2118/228268-MS.</w:t>
      </w:r>
    </w:p>
    <w:p>
      <w:pPr>
        <w:spacing w:after="100"/>
        <w:ind w:left="360" w:hanging="360"/>
      </w:pPr>
      <w:r>
        <w:rPr>
          <w:rFonts w:ascii="Times New Roman" w:cs="Times New Roman" w:eastAsia="Times New Roman" w:hAnsi="Times New Roman"/>
          <w:sz w:val="20"/>
          <w:szCs w:val="20"/>
        </w:rPr>
        <w:t xml:space="preserve">Norwegian Offshore Directorate. 2026a. FactPages. https://factpages.sodir.no (accessed 8 September 2026).</w:t>
      </w:r>
    </w:p>
    <w:p>
      <w:pPr>
        <w:spacing w:after="100"/>
        <w:ind w:left="360" w:hanging="360"/>
      </w:pPr>
      <w:r>
        <w:rPr>
          <w:rFonts w:ascii="Times New Roman" w:cs="Times New Roman" w:eastAsia="Times New Roman" w:hAnsi="Times New Roman"/>
          <w:sz w:val="20"/>
          <w:szCs w:val="20"/>
        </w:rPr>
        <w:t xml:space="preserve">Norwegian Offshore Directorate. 2026b. Wellbore History: 15/9-19 A. FactPages. https://factpages.sodir.no/en/wellbore/pageview/exploration/all/3145 (accessed 11 September 2026).</w:t>
      </w:r>
    </w:p>
    <w:p>
      <w:pPr>
        <w:spacing w:after="100"/>
        <w:ind w:left="360" w:hanging="360"/>
      </w:pPr>
      <w:r>
        <w:rPr>
          <w:rFonts w:ascii="Times New Roman" w:cs="Times New Roman" w:eastAsia="Times New Roman" w:hAnsi="Times New Roman"/>
          <w:sz w:val="20"/>
          <w:szCs w:val="20"/>
        </w:rPr>
        <w:t xml:space="preserve">Norwegian Offshore Directorate. 2026c. Wellbore History: 15/9-19 B. FactPages. https://factpages.sodir.no/en/wellbore/pageview/exploration/all/3251 (accessed 11 September 2026).</w:t>
      </w:r>
    </w:p>
    <w:p>
      <w:pPr>
        <w:spacing w:after="100"/>
        <w:ind w:left="360" w:hanging="360"/>
      </w:pPr>
      <w:r>
        <w:rPr>
          <w:rFonts w:ascii="Times New Roman" w:cs="Times New Roman" w:eastAsia="Times New Roman" w:hAnsi="Times New Roman"/>
          <w:sz w:val="20"/>
          <w:szCs w:val="20"/>
        </w:rPr>
        <w:t xml:space="preserve">Norwegian Offshore Directorate. 2026d. Wellbore History: 15/9-19 S and 15/9-19 SR. FactPages. https://factpages.sodir.no/en/wellbore/PageView/Exploration/By/ByEntryDate/2105 (accessed 11 September 2026).</w:t>
      </w:r>
    </w:p>
    <w:p>
      <w:pPr>
        <w:spacing w:after="100"/>
        <w:ind w:left="360" w:hanging="360"/>
      </w:pPr>
      <w:r>
        <w:rPr>
          <w:rFonts w:ascii="Times New Roman" w:cs="Times New Roman" w:eastAsia="Times New Roman" w:hAnsi="Times New Roman"/>
          <w:sz w:val="20"/>
          <w:szCs w:val="20"/>
        </w:rPr>
        <w:t xml:space="preserve">Norwegian Offshore Directorate. 2026e. Guidelines for Designation of Wells and Wellbores. https://www.sodir.no/globalassets/1-sodir/regelverk/tematiske-veiledninger/eng/guidelines-for-designation-of-wells-and-wellbores.pdf (accessed 23 October 2026).</w:t>
      </w:r>
    </w:p>
    <w:p>
      <w:pPr>
        <w:spacing w:after="100"/>
        <w:ind w:left="360" w:hanging="360"/>
      </w:pPr>
      <w:r>
        <w:rPr>
          <w:rFonts w:ascii="Times New Roman" w:cs="Times New Roman" w:eastAsia="Times New Roman" w:hAnsi="Times New Roman"/>
          <w:sz w:val="20"/>
          <w:szCs w:val="20"/>
        </w:rPr>
        <w:t xml:space="preserve">Priyadarshy, S., Taylor, A., Dev, A., Venugopal, S., and Nair, G.G. 2017. Framework for Prediction of NPT Causes Using Unstructured Reports. Presented at the Offshore Technology Conference, Houston, Texas, USA. OTC-27918-MS. https://doi.org/10.4043/27918-MS.</w:t>
      </w:r>
    </w:p>
    <w:p>
      <w:pPr>
        <w:spacing w:after="100"/>
        <w:ind w:left="360" w:hanging="360"/>
      </w:pPr>
      <w:r>
        <w:rPr>
          <w:rFonts w:ascii="Times New Roman" w:cs="Times New Roman" w:eastAsia="Times New Roman" w:hAnsi="Times New Roman"/>
          <w:sz w:val="20"/>
          <w:szCs w:val="20"/>
        </w:rPr>
        <w:t xml:space="preserve">Sidahmed, M., Coley, C., and Shirzadi, S. 2015. Augmenting Operations Monitoring by Mining Unstructured Drilling Reports. Presented at the SPE Digital Energy Conference and Exhibition, The Woodlands, Texas, USA. SPE-173429-MS. https://doi.org/10.2118/173429-MS. </w:t>
      </w:r>
      <w:r>
        <w:rPr>
          <w:rFonts w:ascii="Times New Roman" w:cs="Times New Roman" w:eastAsia="Times New Roman" w:hAnsi="Times New Roman"/>
          <w:b/>
          <w:bCs/>
          <w:sz w:val="20"/>
          <w:szCs w:val="20"/>
          <w:highlight w:val="yellow"/>
        </w:rPr>
        <w:t xml:space="preserve">[TJ: verify]</w:t>
      </w:r>
    </w:p>
    <w:p>
      <w:pPr>
        <w:spacing w:after="100"/>
        <w:ind w:left="360" w:hanging="360"/>
      </w:pPr>
      <w:r>
        <w:rPr>
          <w:rFonts w:ascii="Times New Roman" w:cs="Times New Roman" w:eastAsia="Times New Roman" w:hAnsi="Times New Roman"/>
          <w:sz w:val="20"/>
          <w:szCs w:val="20"/>
        </w:rPr>
        <w:t xml:space="preserve">Tunkiel, A.T., Sui, D., and Wiktorski, T. 2020. Reference Dataset for Rate of Penetration Benchmarking. </w:t>
      </w:r>
      <w:r>
        <w:rPr>
          <w:rFonts w:ascii="Times New Roman" w:cs="Times New Roman" w:eastAsia="Times New Roman" w:hAnsi="Times New Roman"/>
          <w:i/>
          <w:iCs/>
          <w:sz w:val="20"/>
          <w:szCs w:val="20"/>
        </w:rPr>
        <w:t xml:space="preserve">J Pet Sci Eng</w:t>
      </w:r>
      <w:r>
        <w:rPr>
          <w:rFonts w:ascii="Times New Roman" w:cs="Times New Roman" w:eastAsia="Times New Roman" w:hAnsi="Times New Roman"/>
          <w:sz w:val="20"/>
          <w:szCs w:val="20"/>
        </w:rPr>
        <w:t xml:space="preserve"> 196: 108069. https://doi.org/10.1016/j.petrol.2020.108069.</w:t>
      </w:r>
    </w:p>
    <w:p>
      <w:pPr>
        <w:spacing w:after="100"/>
        <w:ind w:left="360" w:hanging="360"/>
      </w:pPr>
      <w:r>
        <w:rPr>
          <w:rFonts w:ascii="Times New Roman" w:cs="Times New Roman" w:eastAsia="Times New Roman" w:hAnsi="Times New Roman"/>
          <w:sz w:val="20"/>
          <w:szCs w:val="20"/>
        </w:rPr>
        <w:t xml:space="preserve">Wilson, E.B. 1927. Probable Inference, the Law of Succession, and Statistical Inference. </w:t>
      </w:r>
      <w:r>
        <w:rPr>
          <w:rFonts w:ascii="Times New Roman" w:cs="Times New Roman" w:eastAsia="Times New Roman" w:hAnsi="Times New Roman"/>
          <w:i/>
          <w:iCs/>
          <w:sz w:val="20"/>
          <w:szCs w:val="20"/>
        </w:rPr>
        <w:t xml:space="preserve">J Am Stat Assoc</w:t>
      </w:r>
      <w:r>
        <w:rPr>
          <w:rFonts w:ascii="Times New Roman" w:cs="Times New Roman" w:eastAsia="Times New Roman" w:hAnsi="Times New Roman"/>
          <w:sz w:val="20"/>
          <w:szCs w:val="20"/>
        </w:rPr>
        <w:t xml:space="preserve"> 22 (158): 209–212. https://doi.org/10.1080/01621459.1927.10502953.</w:t>
      </w:r>
    </w:p>
    <w:p>
      <w:pPr>
        <w:spacing w:after="100"/>
        <w:ind w:left="360" w:hanging="360"/>
      </w:pPr>
      <w:r>
        <w:rPr>
          <w:rFonts w:ascii="Times New Roman" w:cs="Times New Roman" w:eastAsia="Times New Roman" w:hAnsi="Times New Roman"/>
          <w:sz w:val="20"/>
          <w:szCs w:val="20"/>
        </w:rPr>
        <w:t xml:space="preserve">Zhang, Z., Hou, T., Kherroubi, J., and Khvostichenko, D. 2022. Event Detection in Drilling Remarks Using Natural Language Processing. Presented at the IADC/SPE International Drilling Conference and Exhibition, Galveston, Texas, USA. SPE-208779-MS. https://doi.org/10.2118/208779-MS.</w:t>
      </w:r>
    </w:p>
    <w:p>
      <w:pPr>
        <w:pStyle w:val="Heading1"/>
        <w:keepNext/>
        <w:spacing w:after="120" w:before="240"/>
      </w:pPr>
      <w:r>
        <w:rPr>
          <w:rFonts w:ascii="Times New Roman" w:cs="Times New Roman" w:eastAsia="Times New Roman" w:hAnsi="Times New Roman"/>
          <w:b/>
          <w:bCs/>
          <w:sz w:val="22"/>
          <w:szCs w:val="22"/>
        </w:rPr>
        <w:t xml:space="preserve">Figures</w:t>
      </w:r>
    </w:p>
    <w:p>
      <w:pPr>
        <w:spacing w:after="120" w:line="264"/>
        <w:jc w:val="center"/>
      </w:pPr>
      <w:r>
        <w:rPr>
          <w:rFonts w:ascii="Times New Roman" w:cs="Times New Roman" w:eastAsia="Times New Roman" w:hAnsi="Times New Roman"/>
          <w:b/>
          <w:bCs/>
          <w:sz w:val="20"/>
          <w:szCs w:val="20"/>
          <w:highlight w:val="yellow"/>
        </w:rPr>
        <w:t xml:space="preserve">[TJ: insert figure1_depth_vs_time.png]</w:t>
      </w:r>
    </w:p>
    <w:p>
      <w:pPr>
        <w:keepNext/>
        <w:spacing w:after="80" w:before="160"/>
      </w:pPr>
      <w:r>
        <w:rPr>
          <w:rFonts w:ascii="Times New Roman" w:cs="Times New Roman" w:eastAsia="Times New Roman" w:hAnsi="Times New Roman"/>
          <w:b/>
          <w:bCs/>
          <w:sz w:val="20"/>
          <w:szCs w:val="20"/>
        </w:rPr>
        <w:t xml:space="preserve">Fig. 1: Depth versus time for four representative wellbores, coloured by classified phase.</w:t>
      </w:r>
    </w:p>
    <w:p>
      <w:pPr>
        <w:spacing w:after="120" w:line="264"/>
        <w:jc w:val="center"/>
      </w:pPr>
      <w:r>
        <w:rPr>
          <w:rFonts w:ascii="Times New Roman" w:cs="Times New Roman" w:eastAsia="Times New Roman" w:hAnsi="Times New Roman"/>
          <w:b/>
          <w:bCs/>
          <w:sz w:val="20"/>
          <w:szCs w:val="20"/>
          <w:highlight w:val="yellow"/>
        </w:rPr>
        <w:t xml:space="preserve">[TJ: insert figure2_days_vs_depth_all_wells.png]</w:t>
      </w:r>
    </w:p>
    <w:p>
      <w:pPr>
        <w:keepNext/>
        <w:spacing w:after="80" w:before="160"/>
      </w:pPr>
      <w:r>
        <w:rPr>
          <w:rFonts w:ascii="Times New Roman" w:cs="Times New Roman" w:eastAsia="Times New Roman" w:hAnsi="Times New Roman"/>
          <w:b/>
          <w:bCs/>
          <w:sz w:val="20"/>
          <w:szCs w:val="20"/>
        </w:rPr>
        <w:t xml:space="preserve">Fig. 2: Days since first DDR versus measured depth for all 26 wellbores, coloured by phase.</w:t>
      </w:r>
    </w:p>
    <w:p>
      <w:pPr>
        <w:spacing w:after="120" w:line="264"/>
        <w:jc w:val="center"/>
      </w:pPr>
      <w:r>
        <w:rPr>
          <w:rFonts w:ascii="Times New Roman" w:cs="Times New Roman" w:eastAsia="Times New Roman" w:hAnsi="Times New Roman"/>
          <w:b/>
          <w:bCs/>
          <w:sz w:val="20"/>
          <w:szCs w:val="20"/>
          <w:highlight w:val="yellow"/>
        </w:rPr>
        <w:t xml:space="preserve">[TJ: insert figure3_td_validation_scatter.png]</w:t>
      </w:r>
    </w:p>
    <w:p>
      <w:pPr>
        <w:keepNext/>
        <w:spacing w:after="80" w:before="160"/>
      </w:pPr>
      <w:r>
        <w:rPr>
          <w:rFonts w:ascii="Times New Roman" w:cs="Times New Roman" w:eastAsia="Times New Roman" w:hAnsi="Times New Roman"/>
          <w:b/>
          <w:bCs/>
          <w:sz w:val="20"/>
          <w:szCs w:val="20"/>
        </w:rPr>
        <w:t xml:space="preserve">Fig. 3: Reconstructed WITSML maximum MD versus NOD total depth for the 24 matched wellbores, with 1:1 reference line.</w:t>
      </w:r>
    </w:p>
    <w:p>
      <w:pPr>
        <w:spacing w:after="120" w:line="264"/>
        <w:jc w:val="center"/>
      </w:pPr>
      <w:r>
        <w:rPr>
          <w:rFonts w:ascii="Times New Roman" w:cs="Times New Roman" w:eastAsia="Times New Roman" w:hAnsi="Times New Roman"/>
          <w:b/>
          <w:bCs/>
          <w:sz w:val="20"/>
          <w:szCs w:val="20"/>
          <w:highlight w:val="yellow"/>
        </w:rPr>
        <w:t xml:space="preserve">[TJ: insert figure4_spud_offset_by_category.png]</w:t>
      </w:r>
    </w:p>
    <w:p>
      <w:pPr>
        <w:keepNext/>
        <w:spacing w:after="80" w:before="160"/>
      </w:pPr>
      <w:r>
        <w:rPr>
          <w:rFonts w:ascii="Times New Roman" w:cs="Times New Roman" w:eastAsia="Times New Roman" w:hAnsi="Times New Roman"/>
          <w:b/>
          <w:bCs/>
          <w:sz w:val="20"/>
          <w:szCs w:val="20"/>
        </w:rPr>
        <w:t xml:space="preserve">Fig. 4: Spud date offset (WITSML minus NOD) for 25 wellbores, coloured by validation category. 15/9-F-11 T2 is excluded because NOD does not register it separately.</w:t>
      </w:r>
    </w:p>
    <w:p>
      <w:pPr>
        <w:pStyle w:val="Heading1"/>
        <w:keepNext/>
        <w:spacing w:after="120" w:before="240"/>
      </w:pPr>
      <w:r>
        <w:rPr>
          <w:rFonts w:ascii="Times New Roman" w:cs="Times New Roman" w:eastAsia="Times New Roman" w:hAnsi="Times New Roman"/>
          <w:b/>
          <w:bCs/>
          <w:sz w:val="22"/>
          <w:szCs w:val="22"/>
        </w:rPr>
        <w:t xml:space="preserve">Appendix A: Traceability</w:t>
      </w:r>
    </w:p>
    <w:p>
      <w:pPr>
        <w:spacing w:after="120" w:line="264"/>
        <w:jc w:val="both"/>
      </w:pPr>
      <w:r>
        <w:rPr>
          <w:rFonts w:ascii="Times New Roman" w:cs="Times New Roman" w:eastAsia="Times New Roman" w:hAnsi="Times New Roman"/>
          <w:sz w:val="20"/>
          <w:szCs w:val="20"/>
        </w:rPr>
        <w:t xml:space="preserve">Every quantitative figure in this paper traces to an entry in the numbers registry published in the repository (59 entries, each with the exact query and execution timestamp). The audit estimates in Section 5.2 are derived arithmetically from registry entries, and the arithmetic is shown in the text. </w:t>
      </w:r>
      <w:r>
        <w:rPr>
          <w:rFonts w:ascii="Times New Roman" w:cs="Times New Roman" w:eastAsia="Times New Roman" w:hAnsi="Times New Roman"/>
          <w:b/>
          <w:bCs/>
          <w:sz w:val="20"/>
          <w:szCs w:val="20"/>
          <w:highlight w:val="yellow"/>
        </w:rPr>
        <w:t xml:space="preserve">[TJ: add registry entries for the corrected attainable rate (85.4%, 82.5 to 88.3%) and the 411 placeholder total.]</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Field-Scale Well Construction Timeline Reconstruction from WITSML DDRs</dc:title>
  <dc:creator>T. Appalla</dc:creator>
  <cp:lastModifiedBy>Un-named</cp:lastModifiedBy>
  <cp:revision>1</cp:revision>
  <dcterms:created xsi:type="dcterms:W3CDTF">2026-10-23T12:14:42.104Z</dcterms:created>
  <dcterms:modified xsi:type="dcterms:W3CDTF">2026-10-23T12:14:42.104Z</dcterms:modified>
</cp:coreProperties>
</file>

<file path=docProps/custom.xml><?xml version="1.0" encoding="utf-8"?>
<Properties xmlns="http://schemas.openxmlformats.org/officeDocument/2006/custom-properties" xmlns:vt="http://schemas.openxmlformats.org/officeDocument/2006/docPropsVTypes"/>
</file>